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1B678" w14:textId="4A7FA408" w:rsidR="0060039F" w:rsidRPr="0060039F" w:rsidRDefault="0060039F" w:rsidP="001D68E2">
      <w:pPr>
        <w:pStyle w:val="NormaleWeb"/>
        <w:jc w:val="center"/>
        <w:rPr>
          <w:rFonts w:asciiTheme="majorHAnsi" w:hAnsiTheme="majorHAnsi" w:cstheme="majorHAnsi"/>
        </w:rPr>
      </w:pPr>
      <w:r w:rsidRPr="0060039F">
        <w:rPr>
          <w:rFonts w:asciiTheme="majorHAnsi" w:hAnsiTheme="majorHAnsi" w:cstheme="majorHAnsi"/>
          <w:b/>
          <w:bCs/>
        </w:rPr>
        <w:t>SPEAK-UP @Medov</w:t>
      </w:r>
    </w:p>
    <w:p w14:paraId="1281F8E8"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b/>
          <w:bCs/>
          <w:sz w:val="22"/>
          <w:szCs w:val="22"/>
        </w:rPr>
        <w:t>Il nostro impegno</w:t>
      </w:r>
      <w:r w:rsidRPr="0060039F">
        <w:rPr>
          <w:rFonts w:asciiTheme="majorHAnsi" w:hAnsiTheme="majorHAnsi" w:cstheme="majorHAnsi"/>
          <w:sz w:val="22"/>
          <w:szCs w:val="22"/>
        </w:rPr>
        <w:t> </w:t>
      </w:r>
    </w:p>
    <w:p w14:paraId="1F36918F"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In Medov ci impegniamo a condurre ogni attività con onestà e integrità, e ci aspettiamo che chiunque collabori con noi operi mantenendo gli stessi elevati standard di responsabilità nei confronti del nostro team, dei clienti, dei partner commerciali e della comunità in generale. </w:t>
      </w:r>
    </w:p>
    <w:p w14:paraId="02259393" w14:textId="7AE8049F"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Incoraggiamo il nostro personale ed i partner commerciali a segnalare il prima possibile i sospetti di illecito, sapendo che le loro preoccupazioni saranno prese sul serio e indagate in modo appropriato, la loro riservatezza sarà rispettata e sarà garantita loro protezione da qualsiasi forma di ritorsione. </w:t>
      </w:r>
    </w:p>
    <w:p w14:paraId="769B1F41" w14:textId="77777777" w:rsidR="0060039F" w:rsidRPr="0060039F" w:rsidRDefault="0060039F" w:rsidP="0060039F">
      <w:pPr>
        <w:pStyle w:val="NormaleWeb"/>
        <w:rPr>
          <w:rFonts w:asciiTheme="majorHAnsi" w:hAnsiTheme="majorHAnsi" w:cstheme="majorHAnsi"/>
          <w:sz w:val="22"/>
          <w:szCs w:val="22"/>
        </w:rPr>
      </w:pPr>
      <w:proofErr w:type="spellStart"/>
      <w:r w:rsidRPr="0060039F">
        <w:rPr>
          <w:rFonts w:asciiTheme="majorHAnsi" w:hAnsiTheme="majorHAnsi" w:cstheme="majorHAnsi"/>
          <w:b/>
          <w:bCs/>
          <w:sz w:val="22"/>
          <w:szCs w:val="22"/>
        </w:rPr>
        <w:t>Speak</w:t>
      </w:r>
      <w:proofErr w:type="spellEnd"/>
      <w:r w:rsidRPr="0060039F">
        <w:rPr>
          <w:rFonts w:asciiTheme="majorHAnsi" w:hAnsiTheme="majorHAnsi" w:cstheme="majorHAnsi"/>
          <w:b/>
          <w:bCs/>
          <w:sz w:val="22"/>
          <w:szCs w:val="22"/>
        </w:rPr>
        <w:t>-Up!</w:t>
      </w:r>
      <w:r w:rsidRPr="0060039F">
        <w:rPr>
          <w:rFonts w:asciiTheme="majorHAnsi" w:hAnsiTheme="majorHAnsi" w:cstheme="majorHAnsi"/>
          <w:sz w:val="22"/>
          <w:szCs w:val="22"/>
        </w:rPr>
        <w:t> </w:t>
      </w:r>
    </w:p>
    <w:p w14:paraId="380AEAF1"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In Medov crediamo che le comunicazioni aperte e oneste siano la base solida di processi decisionali consapevoli e costruttivi. </w:t>
      </w:r>
    </w:p>
    <w:p w14:paraId="15E3E05E"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Per questo incoraggiamo ogni componente del nostro staff a parlare liberamente, anche di fronte ad una qualsiasi situazione di non compliance, come, per esempio, episodi di molestie, discriminazione, abuso di potere, bullismo, frode, corruzione o conflitto di interessi. Rientrano nei casi di non compliance tutti gli episodi e i comportamenti contrari ai nostri valori, al Codice di Condotta oltre che alle leggi e ai regolamenti dei Paesi in cui operiamo.  </w:t>
      </w:r>
    </w:p>
    <w:p w14:paraId="7AB008E8" w14:textId="4A836646"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Se non vi sentite a vostro agio nel contattare il vostro Line Manager, il team HR o il Compliance Manager, è sempre possibile effettuare una segnalazione in modo confidenziale attraverso il nostro sistema di Whistleblowing.  </w:t>
      </w:r>
    </w:p>
    <w:p w14:paraId="4E5296D4"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b/>
          <w:bCs/>
          <w:sz w:val="22"/>
          <w:szCs w:val="22"/>
        </w:rPr>
        <w:t>Cos’è il Whistleblowing </w:t>
      </w:r>
      <w:r w:rsidRPr="0060039F">
        <w:rPr>
          <w:rFonts w:asciiTheme="majorHAnsi" w:hAnsiTheme="majorHAnsi" w:cstheme="majorHAnsi"/>
          <w:sz w:val="22"/>
          <w:szCs w:val="22"/>
        </w:rPr>
        <w:t> </w:t>
      </w:r>
    </w:p>
    <w:p w14:paraId="7D21BB92" w14:textId="1C7163AA"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Il Whistleblowing è la divulgazione di informazioni relative a presunti illeciti o pericoli sul lavoro che si sono verificati o che potrebbero verificarsi. Ciò può includere (ma non è limitato a) attività criminali, mancato rispetto di qualsiasi obbligo legale o requisito normativo, comprese le legislazioni dell'UE, corruzione, l'esistenza o il verificarsi di rischi relativi a gravi violazioni dei diritti umani o delle libertà fondamentali, il pericolo per la salute e la sicurezza, il danno all'ambiente; la violazione del Codice di Condotta di Medov, delle policy interne e delle procedure, l'occultamento deliberato di una qualsiasi delle suddette procedure</w:t>
      </w:r>
      <w:r w:rsidRPr="0060039F">
        <w:rPr>
          <w:rFonts w:asciiTheme="majorHAnsi" w:hAnsiTheme="majorHAnsi" w:cstheme="majorHAnsi"/>
          <w:sz w:val="22"/>
          <w:szCs w:val="22"/>
          <w:vertAlign w:val="superscript"/>
        </w:rPr>
        <w:t>1</w:t>
      </w:r>
      <w:r w:rsidRPr="0060039F">
        <w:rPr>
          <w:rFonts w:asciiTheme="majorHAnsi" w:hAnsiTheme="majorHAnsi" w:cstheme="majorHAnsi"/>
          <w:sz w:val="22"/>
          <w:szCs w:val="22"/>
        </w:rPr>
        <w:t>. </w:t>
      </w:r>
    </w:p>
    <w:p w14:paraId="1225C335"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Se siete a conoscenza di violazioni etiche riguardanti l'attività di Medov, vi invitiamo a segnalare le vostre preoccupazioni, in modo riservato e anonimo (se lo si desidera) attraverso la nostra </w:t>
      </w:r>
      <w:hyperlink r:id="rId8" w:anchor="/" w:tgtFrame="_blank" w:history="1">
        <w:r w:rsidRPr="0060039F">
          <w:rPr>
            <w:rStyle w:val="Collegamentoipertestuale"/>
            <w:rFonts w:asciiTheme="majorHAnsi" w:hAnsiTheme="majorHAnsi" w:cstheme="majorHAnsi"/>
            <w:sz w:val="22"/>
            <w:szCs w:val="22"/>
          </w:rPr>
          <w:t>piattaforma Whistleblowing</w:t>
        </w:r>
      </w:hyperlink>
      <w:r w:rsidRPr="0060039F">
        <w:rPr>
          <w:rFonts w:asciiTheme="majorHAnsi" w:hAnsiTheme="majorHAnsi" w:cstheme="majorHAnsi"/>
          <w:sz w:val="22"/>
          <w:szCs w:val="22"/>
        </w:rPr>
        <w:t>, un sito web di segnalazione e servizio telefonico gratuito. All’interno della stessa piattaforma è visibile e consultabile la Policy Whistleblowing di Medov, comprensiva di informativa privacy. </w:t>
      </w:r>
    </w:p>
    <w:p w14:paraId="20ABBA73" w14:textId="313098B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lastRenderedPageBreak/>
        <w:t>Il vostro sostegno ci aiuterà a essere all'altezza delle nostre aspirazioni di partner commerciale responsabile.  </w:t>
      </w:r>
    </w:p>
    <w:p w14:paraId="771CA36B"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b/>
          <w:bCs/>
          <w:sz w:val="22"/>
          <w:szCs w:val="22"/>
        </w:rPr>
        <w:t>Chi può segnalare</w:t>
      </w:r>
      <w:r w:rsidRPr="0060039F">
        <w:rPr>
          <w:rFonts w:asciiTheme="majorHAnsi" w:hAnsiTheme="majorHAnsi" w:cstheme="majorHAnsi"/>
          <w:sz w:val="22"/>
          <w:szCs w:val="22"/>
        </w:rPr>
        <w:t> </w:t>
      </w:r>
    </w:p>
    <w:p w14:paraId="20B63151"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Possono segnalare informazioni sulle violazioni di cui sono venuti a conoscenza nell’ambito del proprio contesto lavorativo i seguenti soggetti (“Utenti”, nonché destinatari della procedura di Whistleblowing): </w:t>
      </w:r>
    </w:p>
    <w:p w14:paraId="088EA434" w14:textId="77777777" w:rsidR="0060039F" w:rsidRPr="0060039F" w:rsidRDefault="0060039F" w:rsidP="0060039F">
      <w:pPr>
        <w:pStyle w:val="NormaleWeb"/>
        <w:numPr>
          <w:ilvl w:val="0"/>
          <w:numId w:val="1"/>
        </w:numPr>
        <w:rPr>
          <w:rFonts w:asciiTheme="majorHAnsi" w:hAnsiTheme="majorHAnsi" w:cstheme="majorHAnsi"/>
          <w:sz w:val="22"/>
          <w:szCs w:val="22"/>
        </w:rPr>
      </w:pPr>
      <w:r w:rsidRPr="0060039F">
        <w:rPr>
          <w:rFonts w:asciiTheme="majorHAnsi" w:hAnsiTheme="majorHAnsi" w:cstheme="majorHAnsi"/>
          <w:sz w:val="22"/>
          <w:szCs w:val="22"/>
        </w:rPr>
        <w:t>Personale Medov con rapporto lavorativo a tempo indeterminato, a tempo parziale, intermittente, determinato, di somministrazione, di apprendistato, di lavoro accessorio; </w:t>
      </w:r>
    </w:p>
    <w:p w14:paraId="633E2612" w14:textId="77777777" w:rsidR="0060039F" w:rsidRPr="0060039F" w:rsidRDefault="0060039F" w:rsidP="0060039F">
      <w:pPr>
        <w:pStyle w:val="NormaleWeb"/>
        <w:numPr>
          <w:ilvl w:val="0"/>
          <w:numId w:val="2"/>
        </w:numPr>
        <w:rPr>
          <w:rFonts w:asciiTheme="majorHAnsi" w:hAnsiTheme="majorHAnsi" w:cstheme="majorHAnsi"/>
          <w:sz w:val="22"/>
          <w:szCs w:val="22"/>
        </w:rPr>
      </w:pPr>
      <w:r w:rsidRPr="0060039F">
        <w:rPr>
          <w:rFonts w:asciiTheme="majorHAnsi" w:hAnsiTheme="majorHAnsi" w:cstheme="majorHAnsi"/>
          <w:sz w:val="22"/>
          <w:szCs w:val="22"/>
        </w:rPr>
        <w:t>Personale con contratto di lavoro autonomo; </w:t>
      </w:r>
    </w:p>
    <w:p w14:paraId="62476FCE" w14:textId="77777777" w:rsidR="0060039F" w:rsidRPr="0060039F" w:rsidRDefault="0060039F" w:rsidP="0060039F">
      <w:pPr>
        <w:pStyle w:val="NormaleWeb"/>
        <w:numPr>
          <w:ilvl w:val="0"/>
          <w:numId w:val="3"/>
        </w:numPr>
        <w:rPr>
          <w:rFonts w:asciiTheme="majorHAnsi" w:hAnsiTheme="majorHAnsi" w:cstheme="majorHAnsi"/>
          <w:sz w:val="22"/>
          <w:szCs w:val="22"/>
        </w:rPr>
      </w:pPr>
      <w:r w:rsidRPr="0060039F">
        <w:rPr>
          <w:rFonts w:asciiTheme="majorHAnsi" w:hAnsiTheme="majorHAnsi" w:cstheme="majorHAnsi"/>
          <w:sz w:val="22"/>
          <w:szCs w:val="22"/>
        </w:rPr>
        <w:t>Titolari di un rapporto di collaborazione; </w:t>
      </w:r>
    </w:p>
    <w:p w14:paraId="699927EC" w14:textId="77777777" w:rsidR="0060039F" w:rsidRPr="0060039F" w:rsidRDefault="0060039F" w:rsidP="0060039F">
      <w:pPr>
        <w:pStyle w:val="NormaleWeb"/>
        <w:numPr>
          <w:ilvl w:val="0"/>
          <w:numId w:val="4"/>
        </w:numPr>
        <w:rPr>
          <w:rFonts w:asciiTheme="majorHAnsi" w:hAnsiTheme="majorHAnsi" w:cstheme="majorHAnsi"/>
          <w:sz w:val="22"/>
          <w:szCs w:val="22"/>
        </w:rPr>
      </w:pPr>
      <w:r w:rsidRPr="0060039F">
        <w:rPr>
          <w:rFonts w:asciiTheme="majorHAnsi" w:hAnsiTheme="majorHAnsi" w:cstheme="majorHAnsi"/>
          <w:sz w:val="22"/>
          <w:szCs w:val="22"/>
        </w:rPr>
        <w:t>Partner commerciali in regime di libera professione e consulenza; </w:t>
      </w:r>
    </w:p>
    <w:p w14:paraId="339D6CC4" w14:textId="77777777" w:rsidR="0060039F" w:rsidRPr="0060039F" w:rsidRDefault="0060039F" w:rsidP="0060039F">
      <w:pPr>
        <w:pStyle w:val="NormaleWeb"/>
        <w:numPr>
          <w:ilvl w:val="0"/>
          <w:numId w:val="5"/>
        </w:numPr>
        <w:rPr>
          <w:rFonts w:asciiTheme="majorHAnsi" w:hAnsiTheme="majorHAnsi" w:cstheme="majorHAnsi"/>
          <w:sz w:val="22"/>
          <w:szCs w:val="22"/>
        </w:rPr>
      </w:pPr>
      <w:r w:rsidRPr="0060039F">
        <w:rPr>
          <w:rFonts w:asciiTheme="majorHAnsi" w:hAnsiTheme="majorHAnsi" w:cstheme="majorHAnsi"/>
          <w:sz w:val="22"/>
          <w:szCs w:val="22"/>
        </w:rPr>
        <w:t>Soggetti volontari e tirocinanti, retribuiti e non retribuiti; </w:t>
      </w:r>
    </w:p>
    <w:p w14:paraId="0E42BA6D" w14:textId="095622BD" w:rsidR="0060039F" w:rsidRPr="0060039F" w:rsidRDefault="0060039F" w:rsidP="0060039F">
      <w:pPr>
        <w:pStyle w:val="NormaleWeb"/>
        <w:numPr>
          <w:ilvl w:val="0"/>
          <w:numId w:val="6"/>
        </w:numPr>
        <w:rPr>
          <w:rFonts w:asciiTheme="majorHAnsi" w:hAnsiTheme="majorHAnsi" w:cstheme="majorHAnsi"/>
          <w:sz w:val="22"/>
          <w:szCs w:val="22"/>
        </w:rPr>
      </w:pPr>
      <w:r w:rsidRPr="0060039F">
        <w:rPr>
          <w:rFonts w:asciiTheme="majorHAnsi" w:hAnsiTheme="majorHAnsi" w:cstheme="majorHAnsi"/>
          <w:sz w:val="22"/>
          <w:szCs w:val="22"/>
        </w:rPr>
        <w:t>Persone proprietarie di azioni, con funzioni di amministrazione, direzione, controllo, vigilanza o rappresentanza della Società, anche qualora tali funzioni siano esercitate in via di mero fatto. </w:t>
      </w:r>
    </w:p>
    <w:p w14:paraId="30F69C0C"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Le segnalazioni possono essere effettuate anche: </w:t>
      </w:r>
    </w:p>
    <w:p w14:paraId="7FCD57E4" w14:textId="77777777" w:rsidR="0060039F" w:rsidRPr="0060039F" w:rsidRDefault="0060039F" w:rsidP="0060039F">
      <w:pPr>
        <w:pStyle w:val="NormaleWeb"/>
        <w:numPr>
          <w:ilvl w:val="0"/>
          <w:numId w:val="7"/>
        </w:numPr>
        <w:rPr>
          <w:rFonts w:asciiTheme="majorHAnsi" w:hAnsiTheme="majorHAnsi" w:cstheme="majorHAnsi"/>
          <w:sz w:val="22"/>
          <w:szCs w:val="22"/>
        </w:rPr>
      </w:pPr>
      <w:r w:rsidRPr="0060039F">
        <w:rPr>
          <w:rFonts w:asciiTheme="majorHAnsi" w:hAnsiTheme="majorHAnsi" w:cstheme="majorHAnsi"/>
          <w:sz w:val="22"/>
          <w:szCs w:val="22"/>
        </w:rPr>
        <w:t>quando il rapporto giuridico non è ancora iniziato, se le informazioni sulle violazioni sono state acquisite </w:t>
      </w:r>
    </w:p>
    <w:p w14:paraId="03B1B660" w14:textId="77777777" w:rsidR="0060039F" w:rsidRPr="0060039F" w:rsidRDefault="0060039F" w:rsidP="0060039F">
      <w:pPr>
        <w:pStyle w:val="NormaleWeb"/>
        <w:numPr>
          <w:ilvl w:val="0"/>
          <w:numId w:val="8"/>
        </w:numPr>
        <w:rPr>
          <w:rFonts w:asciiTheme="majorHAnsi" w:hAnsiTheme="majorHAnsi" w:cstheme="majorHAnsi"/>
          <w:sz w:val="22"/>
          <w:szCs w:val="22"/>
        </w:rPr>
      </w:pPr>
      <w:r w:rsidRPr="0060039F">
        <w:rPr>
          <w:rFonts w:asciiTheme="majorHAnsi" w:hAnsiTheme="majorHAnsi" w:cstheme="majorHAnsi"/>
          <w:sz w:val="22"/>
          <w:szCs w:val="22"/>
        </w:rPr>
        <w:t>durante il processo di selezione o in altre fasi precontrattuali; </w:t>
      </w:r>
    </w:p>
    <w:p w14:paraId="53AE2DC2" w14:textId="77777777" w:rsidR="0060039F" w:rsidRPr="0060039F" w:rsidRDefault="0060039F" w:rsidP="0060039F">
      <w:pPr>
        <w:pStyle w:val="NormaleWeb"/>
        <w:numPr>
          <w:ilvl w:val="0"/>
          <w:numId w:val="9"/>
        </w:numPr>
        <w:rPr>
          <w:rFonts w:asciiTheme="majorHAnsi" w:hAnsiTheme="majorHAnsi" w:cstheme="majorHAnsi"/>
          <w:sz w:val="22"/>
          <w:szCs w:val="22"/>
        </w:rPr>
      </w:pPr>
      <w:r w:rsidRPr="0060039F">
        <w:rPr>
          <w:rFonts w:asciiTheme="majorHAnsi" w:hAnsiTheme="majorHAnsi" w:cstheme="majorHAnsi"/>
          <w:sz w:val="22"/>
          <w:szCs w:val="22"/>
        </w:rPr>
        <w:t>durante il periodo di prova; </w:t>
      </w:r>
    </w:p>
    <w:p w14:paraId="0F33B32A" w14:textId="34790E12" w:rsidR="0060039F" w:rsidRPr="0060039F" w:rsidRDefault="0060039F" w:rsidP="0060039F">
      <w:pPr>
        <w:pStyle w:val="NormaleWeb"/>
        <w:numPr>
          <w:ilvl w:val="0"/>
          <w:numId w:val="10"/>
        </w:numPr>
        <w:rPr>
          <w:rFonts w:asciiTheme="majorHAnsi" w:hAnsiTheme="majorHAnsi" w:cstheme="majorHAnsi"/>
          <w:sz w:val="22"/>
          <w:szCs w:val="22"/>
        </w:rPr>
      </w:pPr>
      <w:r w:rsidRPr="0060039F">
        <w:rPr>
          <w:rFonts w:asciiTheme="majorHAnsi" w:hAnsiTheme="majorHAnsi" w:cstheme="majorHAnsi"/>
          <w:sz w:val="22"/>
          <w:szCs w:val="22"/>
        </w:rPr>
        <w:t>successivamente allo scioglimento del rapporto giuridico se le informazioni sulle violazioni sono state acquisite nel corso del rapporto stesso.  </w:t>
      </w:r>
    </w:p>
    <w:p w14:paraId="4D6CFF84"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b/>
          <w:bCs/>
          <w:sz w:val="22"/>
          <w:szCs w:val="22"/>
        </w:rPr>
        <w:t>Oggetto della segnalazione</w:t>
      </w:r>
      <w:r w:rsidRPr="0060039F">
        <w:rPr>
          <w:rFonts w:asciiTheme="majorHAnsi" w:hAnsiTheme="majorHAnsi" w:cstheme="majorHAnsi"/>
          <w:sz w:val="22"/>
          <w:szCs w:val="22"/>
        </w:rPr>
        <w:t> </w:t>
      </w:r>
    </w:p>
    <w:p w14:paraId="699339B3"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Può costituire oggetto della segnalazione qualsiasi presunta violazione o tentativo di violazione dell’interesse pubblico dell’integrità dell’azienda, cui i soggetti elencati al punto precedente siano venuti a conoscenza nel contesto lavorativo o comunque in ragione del rapporto esistente con Medov.  </w:t>
      </w:r>
    </w:p>
    <w:p w14:paraId="5019848F"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In generale le segnalazioni possono riguardare: </w:t>
      </w:r>
    </w:p>
    <w:p w14:paraId="7DFF3770" w14:textId="77777777" w:rsidR="0060039F" w:rsidRPr="0060039F" w:rsidRDefault="0060039F" w:rsidP="0060039F">
      <w:pPr>
        <w:pStyle w:val="NormaleWeb"/>
        <w:numPr>
          <w:ilvl w:val="0"/>
          <w:numId w:val="11"/>
        </w:numPr>
        <w:rPr>
          <w:rFonts w:asciiTheme="majorHAnsi" w:hAnsiTheme="majorHAnsi" w:cstheme="majorHAnsi"/>
          <w:sz w:val="22"/>
          <w:szCs w:val="22"/>
        </w:rPr>
      </w:pPr>
      <w:r w:rsidRPr="0060039F">
        <w:rPr>
          <w:rFonts w:asciiTheme="majorHAnsi" w:hAnsiTheme="majorHAnsi" w:cstheme="majorHAnsi"/>
          <w:sz w:val="22"/>
          <w:szCs w:val="22"/>
        </w:rPr>
        <w:lastRenderedPageBreak/>
        <w:t>Violazioni di disposizioni nazionali ed europee che consistono in illeciti in specifici settori (appalti pubblici; servizi, prodotti e mercati finanziari e prevenzione del riciclaggio e del finanziamento del terrorismo; sicurezza e conformità dei prodotti; tutela dell’ambiente; protezione dei consumatori; tutela della vita privata e protezione dei dati personali e sicurezza delle reti e dei sistemi informativi). </w:t>
      </w:r>
    </w:p>
    <w:p w14:paraId="42FECD8E" w14:textId="77777777" w:rsidR="0060039F" w:rsidRPr="0060039F" w:rsidRDefault="0060039F" w:rsidP="0060039F">
      <w:pPr>
        <w:pStyle w:val="NormaleWeb"/>
        <w:numPr>
          <w:ilvl w:val="0"/>
          <w:numId w:val="12"/>
        </w:numPr>
        <w:rPr>
          <w:rFonts w:asciiTheme="majorHAnsi" w:hAnsiTheme="majorHAnsi" w:cstheme="majorHAnsi"/>
          <w:sz w:val="22"/>
          <w:szCs w:val="22"/>
        </w:rPr>
      </w:pPr>
      <w:r w:rsidRPr="0060039F">
        <w:rPr>
          <w:rFonts w:asciiTheme="majorHAnsi" w:hAnsiTheme="majorHAnsi" w:cstheme="majorHAnsi"/>
          <w:sz w:val="22"/>
          <w:szCs w:val="22"/>
        </w:rPr>
        <w:t>Violazioni di disposizioni europee (atti o omissioni che ledono gli interessi finanziari dell’Unione, riguardanti il mercato interno atti e comportamenti che vanificano l’oggetto o la finalità delle disposizioni degli atti dell’Unione nei settori sopra richiamati. </w:t>
      </w:r>
    </w:p>
    <w:p w14:paraId="4420A2D1" w14:textId="77777777" w:rsidR="0060039F" w:rsidRPr="0060039F" w:rsidRDefault="0060039F" w:rsidP="0060039F">
      <w:pPr>
        <w:pStyle w:val="NormaleWeb"/>
        <w:numPr>
          <w:ilvl w:val="0"/>
          <w:numId w:val="13"/>
        </w:numPr>
        <w:rPr>
          <w:rFonts w:asciiTheme="majorHAnsi" w:hAnsiTheme="majorHAnsi" w:cstheme="majorHAnsi"/>
          <w:sz w:val="22"/>
          <w:szCs w:val="22"/>
        </w:rPr>
      </w:pPr>
      <w:r w:rsidRPr="0060039F">
        <w:rPr>
          <w:rFonts w:asciiTheme="majorHAnsi" w:hAnsiTheme="majorHAnsi" w:cstheme="majorHAnsi"/>
          <w:sz w:val="22"/>
          <w:szCs w:val="22"/>
        </w:rPr>
        <w:t>Violazioni di disposizioni nazionali che consistono in: illeciti amministrativi, contabili, civili o penali; condotte illecite rilevanti ai sensi del d.lgs. 231/2001 o violazioni dei modelli organizzativi e gestione dell’azienda.  </w:t>
      </w:r>
    </w:p>
    <w:p w14:paraId="7C919935" w14:textId="667C52C1"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Nello specifico potrà essere segnalato qualsiasi evento o comportamento qualora si ritenga che possa causare un danno di qualunque tipo all’azienda o ad altre società del gruppo (ad esempio, danno economico, reputazionale, d’immagine, ambientale, alla sicurezza dei lavoratori o di terzi). </w:t>
      </w:r>
    </w:p>
    <w:p w14:paraId="78AF7E70"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Non risultano meritevoli di tutela ai sensi della presente disciplina le segnalazioni fondate ad esempio su:  </w:t>
      </w:r>
    </w:p>
    <w:p w14:paraId="7F927603" w14:textId="77777777" w:rsidR="0060039F" w:rsidRPr="0060039F" w:rsidRDefault="0060039F" w:rsidP="0060039F">
      <w:pPr>
        <w:pStyle w:val="NormaleWeb"/>
        <w:numPr>
          <w:ilvl w:val="0"/>
          <w:numId w:val="14"/>
        </w:numPr>
        <w:rPr>
          <w:rFonts w:asciiTheme="majorHAnsi" w:hAnsiTheme="majorHAnsi" w:cstheme="majorHAnsi"/>
          <w:sz w:val="22"/>
          <w:szCs w:val="22"/>
        </w:rPr>
      </w:pPr>
      <w:r w:rsidRPr="0060039F">
        <w:rPr>
          <w:rFonts w:asciiTheme="majorHAnsi" w:hAnsiTheme="majorHAnsi" w:cstheme="majorHAnsi"/>
          <w:sz w:val="22"/>
          <w:szCs w:val="22"/>
        </w:rPr>
        <w:t>sospetti o voci senza evidenze;  </w:t>
      </w:r>
    </w:p>
    <w:p w14:paraId="30C63D83" w14:textId="77777777" w:rsidR="0060039F" w:rsidRPr="0060039F" w:rsidRDefault="0060039F" w:rsidP="0060039F">
      <w:pPr>
        <w:pStyle w:val="NormaleWeb"/>
        <w:numPr>
          <w:ilvl w:val="0"/>
          <w:numId w:val="15"/>
        </w:numPr>
        <w:rPr>
          <w:rFonts w:asciiTheme="majorHAnsi" w:hAnsiTheme="majorHAnsi" w:cstheme="majorHAnsi"/>
          <w:sz w:val="22"/>
          <w:szCs w:val="22"/>
        </w:rPr>
      </w:pPr>
      <w:r w:rsidRPr="0060039F">
        <w:rPr>
          <w:rFonts w:asciiTheme="majorHAnsi" w:hAnsiTheme="majorHAnsi" w:cstheme="majorHAnsi"/>
          <w:sz w:val="22"/>
          <w:szCs w:val="22"/>
        </w:rPr>
        <w:t>rimostranze personali del segnalante;  </w:t>
      </w:r>
    </w:p>
    <w:p w14:paraId="40329E23" w14:textId="77777777" w:rsidR="0060039F" w:rsidRPr="0060039F" w:rsidRDefault="0060039F" w:rsidP="0060039F">
      <w:pPr>
        <w:pStyle w:val="NormaleWeb"/>
        <w:numPr>
          <w:ilvl w:val="0"/>
          <w:numId w:val="16"/>
        </w:numPr>
        <w:rPr>
          <w:rFonts w:asciiTheme="majorHAnsi" w:hAnsiTheme="majorHAnsi" w:cstheme="majorHAnsi"/>
          <w:sz w:val="22"/>
          <w:szCs w:val="22"/>
        </w:rPr>
      </w:pPr>
      <w:r w:rsidRPr="0060039F">
        <w:rPr>
          <w:rFonts w:asciiTheme="majorHAnsi" w:hAnsiTheme="majorHAnsi" w:cstheme="majorHAnsi"/>
          <w:sz w:val="22"/>
          <w:szCs w:val="22"/>
        </w:rPr>
        <w:t>rivendicazioni attinenti al rapporto di lavoro o di collaborazione;  </w:t>
      </w:r>
    </w:p>
    <w:p w14:paraId="45F41E6D" w14:textId="3080A404" w:rsidR="0060039F" w:rsidRPr="0060039F" w:rsidRDefault="0060039F" w:rsidP="0060039F">
      <w:pPr>
        <w:pStyle w:val="NormaleWeb"/>
        <w:numPr>
          <w:ilvl w:val="0"/>
          <w:numId w:val="17"/>
        </w:numPr>
        <w:rPr>
          <w:rFonts w:asciiTheme="majorHAnsi" w:hAnsiTheme="majorHAnsi" w:cstheme="majorHAnsi"/>
          <w:sz w:val="22"/>
          <w:szCs w:val="22"/>
        </w:rPr>
      </w:pPr>
      <w:r w:rsidRPr="0060039F">
        <w:rPr>
          <w:rFonts w:asciiTheme="majorHAnsi" w:hAnsiTheme="majorHAnsi" w:cstheme="majorHAnsi"/>
          <w:sz w:val="22"/>
          <w:szCs w:val="22"/>
        </w:rPr>
        <w:t>rivendicazioni attinenti ai rapporti con i superiori gerarchici o i colleghi. </w:t>
      </w:r>
    </w:p>
    <w:p w14:paraId="414010CB"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b/>
          <w:bCs/>
          <w:sz w:val="22"/>
          <w:szCs w:val="22"/>
        </w:rPr>
        <w:t>Come segnalare un problema di non conformità</w:t>
      </w:r>
      <w:r w:rsidRPr="0060039F">
        <w:rPr>
          <w:rFonts w:asciiTheme="majorHAnsi" w:hAnsiTheme="majorHAnsi" w:cstheme="majorHAnsi"/>
          <w:sz w:val="22"/>
          <w:szCs w:val="22"/>
        </w:rPr>
        <w:t> </w:t>
      </w:r>
    </w:p>
    <w:p w14:paraId="51D10360"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I canali di segnalazione del gruppo Whistleblowing di Medov sono disponibili 24 ore su 24, 7 giorni su 7, 365 giorni all'anno. Per garantire la massima riservatezza, il sistema di segnalazione Whistleblowing di Medov è ospitato da un operatore esterno indipendente (“Fornitore Esterno”). Il canale Whistleblowing è disponibile al seguente link: </w:t>
      </w:r>
      <w:hyperlink r:id="rId9" w:anchor="/" w:tgtFrame="_blank" w:history="1">
        <w:r w:rsidRPr="0060039F">
          <w:rPr>
            <w:rStyle w:val="Collegamentoipertestuale"/>
            <w:rFonts w:asciiTheme="majorHAnsi" w:hAnsiTheme="majorHAnsi" w:cstheme="majorHAnsi"/>
            <w:sz w:val="22"/>
            <w:szCs w:val="22"/>
          </w:rPr>
          <w:t>Linea diretta per la compliance</w:t>
        </w:r>
      </w:hyperlink>
      <w:r w:rsidRPr="0060039F">
        <w:rPr>
          <w:rFonts w:asciiTheme="majorHAnsi" w:hAnsiTheme="majorHAnsi" w:cstheme="majorHAnsi"/>
          <w:sz w:val="22"/>
          <w:szCs w:val="22"/>
        </w:rPr>
        <w:t> </w:t>
      </w:r>
    </w:p>
    <w:p w14:paraId="5A7B6C97"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Oltre alla modalità di cui sopra, è possibile fare una segnalazione direttamente all’organismo locale competente, inviando una lettera contrassegnata come "confidenziale" a: Ufficio Compliance I.L. Investimenti Via A. Cantore 8G/121 – 16149 Genova. </w:t>
      </w:r>
    </w:p>
    <w:p w14:paraId="4C01BA37"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Incoraggiamo anche le terze parti che lavorano con noi a segnalare eventuali episodi di non conformità, sempre tramite il nostro sistema Whistleblowing. </w:t>
      </w:r>
    </w:p>
    <w:p w14:paraId="7951B641"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 </w:t>
      </w:r>
    </w:p>
    <w:p w14:paraId="4EC9D97E"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b/>
          <w:bCs/>
          <w:sz w:val="22"/>
          <w:szCs w:val="22"/>
        </w:rPr>
        <w:lastRenderedPageBreak/>
        <w:t>Procedura di segnalazione</w:t>
      </w:r>
      <w:r w:rsidRPr="0060039F">
        <w:rPr>
          <w:rFonts w:asciiTheme="majorHAnsi" w:hAnsiTheme="majorHAnsi" w:cstheme="majorHAnsi"/>
          <w:sz w:val="22"/>
          <w:szCs w:val="22"/>
        </w:rPr>
        <w:t> </w:t>
      </w:r>
    </w:p>
    <w:p w14:paraId="30A9969C" w14:textId="77777777" w:rsidR="0060039F" w:rsidRPr="0060039F" w:rsidRDefault="0060039F" w:rsidP="0060039F">
      <w:pPr>
        <w:pStyle w:val="NormaleWeb"/>
        <w:numPr>
          <w:ilvl w:val="0"/>
          <w:numId w:val="18"/>
        </w:numPr>
        <w:rPr>
          <w:rFonts w:asciiTheme="majorHAnsi" w:hAnsiTheme="majorHAnsi" w:cstheme="majorHAnsi"/>
          <w:sz w:val="22"/>
          <w:szCs w:val="22"/>
        </w:rPr>
      </w:pPr>
      <w:r w:rsidRPr="0060039F">
        <w:rPr>
          <w:rFonts w:asciiTheme="majorHAnsi" w:hAnsiTheme="majorHAnsi" w:cstheme="majorHAnsi"/>
          <w:sz w:val="22"/>
          <w:szCs w:val="22"/>
        </w:rPr>
        <w:t>Inviate la segnalazione tramite il modulo web, scegliendo se mantenere l’anonimato. </w:t>
      </w:r>
    </w:p>
    <w:p w14:paraId="75039E5C" w14:textId="77777777" w:rsidR="0060039F" w:rsidRPr="0060039F" w:rsidRDefault="0060039F" w:rsidP="0060039F">
      <w:pPr>
        <w:pStyle w:val="NormaleWeb"/>
        <w:numPr>
          <w:ilvl w:val="0"/>
          <w:numId w:val="19"/>
        </w:numPr>
        <w:rPr>
          <w:rFonts w:asciiTheme="majorHAnsi" w:hAnsiTheme="majorHAnsi" w:cstheme="majorHAnsi"/>
          <w:sz w:val="22"/>
          <w:szCs w:val="22"/>
        </w:rPr>
      </w:pPr>
      <w:r w:rsidRPr="0060039F">
        <w:rPr>
          <w:rFonts w:asciiTheme="majorHAnsi" w:hAnsiTheme="majorHAnsi" w:cstheme="majorHAnsi"/>
          <w:sz w:val="22"/>
          <w:szCs w:val="22"/>
        </w:rPr>
        <w:t>Includete una descrizione dettagliata dell’evento che ritenete non conforme (chi, cosa, quando, come) e aggiungete prove a sostegno, ad esempio copie di documenti o nomi di testimoni che possano avvalorare la vostra segnalazione. Le segnalazioni generiche possono comunque essere approfondite. </w:t>
      </w:r>
    </w:p>
    <w:p w14:paraId="26DF1866" w14:textId="77777777" w:rsidR="0060039F" w:rsidRPr="0060039F" w:rsidRDefault="0060039F" w:rsidP="0060039F">
      <w:pPr>
        <w:pStyle w:val="NormaleWeb"/>
        <w:numPr>
          <w:ilvl w:val="0"/>
          <w:numId w:val="20"/>
        </w:numPr>
        <w:rPr>
          <w:rFonts w:asciiTheme="majorHAnsi" w:hAnsiTheme="majorHAnsi" w:cstheme="majorHAnsi"/>
          <w:sz w:val="22"/>
          <w:szCs w:val="22"/>
        </w:rPr>
      </w:pPr>
      <w:r w:rsidRPr="0060039F">
        <w:rPr>
          <w:rFonts w:asciiTheme="majorHAnsi" w:hAnsiTheme="majorHAnsi" w:cstheme="majorHAnsi"/>
          <w:sz w:val="22"/>
          <w:szCs w:val="22"/>
        </w:rPr>
        <w:t>Una volta inviata la segnalazione, riceverete un numero di pratica individuale, necessario poi per riaccedere nuovamente al sistema. </w:t>
      </w:r>
    </w:p>
    <w:p w14:paraId="57B7C6F6" w14:textId="77777777" w:rsidR="0060039F" w:rsidRPr="0060039F" w:rsidRDefault="0060039F" w:rsidP="0060039F">
      <w:pPr>
        <w:pStyle w:val="NormaleWeb"/>
        <w:numPr>
          <w:ilvl w:val="0"/>
          <w:numId w:val="21"/>
        </w:numPr>
        <w:rPr>
          <w:rFonts w:asciiTheme="majorHAnsi" w:hAnsiTheme="majorHAnsi" w:cstheme="majorHAnsi"/>
          <w:sz w:val="22"/>
          <w:szCs w:val="22"/>
        </w:rPr>
      </w:pPr>
      <w:r w:rsidRPr="0060039F">
        <w:rPr>
          <w:rFonts w:asciiTheme="majorHAnsi" w:hAnsiTheme="majorHAnsi" w:cstheme="majorHAnsi"/>
          <w:sz w:val="22"/>
          <w:szCs w:val="22"/>
        </w:rPr>
        <w:t>Prenderemo in considerazione tutti gli episodi di non compliance e adotteremo le misure appropriate, e vi forniremo le opportune informazioni sugli sviluppi del caso. </w:t>
      </w:r>
    </w:p>
    <w:p w14:paraId="267B74C3" w14:textId="25B93706" w:rsidR="0060039F" w:rsidRPr="0060039F" w:rsidRDefault="0060039F" w:rsidP="0060039F">
      <w:pPr>
        <w:pStyle w:val="NormaleWeb"/>
        <w:numPr>
          <w:ilvl w:val="0"/>
          <w:numId w:val="22"/>
        </w:numPr>
        <w:rPr>
          <w:rFonts w:asciiTheme="majorHAnsi" w:hAnsiTheme="majorHAnsi" w:cstheme="majorHAnsi"/>
          <w:sz w:val="22"/>
          <w:szCs w:val="22"/>
        </w:rPr>
      </w:pPr>
      <w:r w:rsidRPr="0060039F">
        <w:rPr>
          <w:rFonts w:asciiTheme="majorHAnsi" w:hAnsiTheme="majorHAnsi" w:cstheme="majorHAnsi"/>
          <w:sz w:val="22"/>
          <w:szCs w:val="22"/>
        </w:rPr>
        <w:t>È possibile monitorare i progressi della procedura di segnalazione accedendo dal sito web con il numero di pratica individuale. </w:t>
      </w:r>
    </w:p>
    <w:p w14:paraId="693B1422"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b/>
          <w:bCs/>
          <w:sz w:val="22"/>
          <w:szCs w:val="22"/>
        </w:rPr>
        <w:t>Cosa succede dopo l’invio di una segnalazione</w:t>
      </w:r>
      <w:r w:rsidRPr="0060039F">
        <w:rPr>
          <w:rFonts w:asciiTheme="majorHAnsi" w:hAnsiTheme="majorHAnsi" w:cstheme="majorHAnsi"/>
          <w:sz w:val="22"/>
          <w:szCs w:val="22"/>
        </w:rPr>
        <w:t> </w:t>
      </w:r>
    </w:p>
    <w:p w14:paraId="1A805E81" w14:textId="77777777" w:rsidR="0060039F" w:rsidRPr="0060039F" w:rsidRDefault="0060039F" w:rsidP="0060039F">
      <w:pPr>
        <w:pStyle w:val="NormaleWeb"/>
        <w:numPr>
          <w:ilvl w:val="0"/>
          <w:numId w:val="23"/>
        </w:numPr>
        <w:rPr>
          <w:rFonts w:asciiTheme="majorHAnsi" w:hAnsiTheme="majorHAnsi" w:cstheme="majorHAnsi"/>
          <w:sz w:val="22"/>
          <w:szCs w:val="22"/>
        </w:rPr>
      </w:pPr>
      <w:r w:rsidRPr="0060039F">
        <w:rPr>
          <w:rFonts w:asciiTheme="majorHAnsi" w:hAnsiTheme="majorHAnsi" w:cstheme="majorHAnsi"/>
          <w:sz w:val="22"/>
          <w:szCs w:val="22"/>
        </w:rPr>
        <w:t>Conferma della segnalazione: Confermeremo la ricezione del vostro messaggio entro cinque giorni lavorativi. Se la segnalazione non conterrà informazioni sufficienti/prove utilizzabili, verrà chiesto di fornirne di ulteriori. </w:t>
      </w:r>
    </w:p>
    <w:p w14:paraId="49B641E5" w14:textId="77777777" w:rsidR="0060039F" w:rsidRPr="0060039F" w:rsidRDefault="0060039F" w:rsidP="0060039F">
      <w:pPr>
        <w:pStyle w:val="NormaleWeb"/>
        <w:numPr>
          <w:ilvl w:val="0"/>
          <w:numId w:val="24"/>
        </w:numPr>
        <w:rPr>
          <w:rFonts w:asciiTheme="majorHAnsi" w:hAnsiTheme="majorHAnsi" w:cstheme="majorHAnsi"/>
          <w:sz w:val="22"/>
          <w:szCs w:val="22"/>
        </w:rPr>
      </w:pPr>
      <w:r w:rsidRPr="0060039F">
        <w:rPr>
          <w:rFonts w:asciiTheme="majorHAnsi" w:hAnsiTheme="majorHAnsi" w:cstheme="majorHAnsi"/>
          <w:sz w:val="22"/>
          <w:szCs w:val="22"/>
        </w:rPr>
        <w:t>Selezione: Ogni segnalazione viene esaminata attentamente. Apriremo un’indagine interna in caso la segnalazione includa un numero minimo di informazioni e prove utilizzabili. In assenza di conflitto di interessi, l'indagine sarà condotta dal Compliance Manager. HR potrà essere in supporto durante tutta la fase di indagine interna. </w:t>
      </w:r>
    </w:p>
    <w:p w14:paraId="700ACF85" w14:textId="77777777" w:rsidR="0060039F" w:rsidRPr="0060039F" w:rsidRDefault="0060039F" w:rsidP="0060039F">
      <w:pPr>
        <w:pStyle w:val="NormaleWeb"/>
        <w:numPr>
          <w:ilvl w:val="0"/>
          <w:numId w:val="25"/>
        </w:numPr>
        <w:rPr>
          <w:rFonts w:asciiTheme="majorHAnsi" w:hAnsiTheme="majorHAnsi" w:cstheme="majorHAnsi"/>
          <w:sz w:val="22"/>
          <w:szCs w:val="22"/>
        </w:rPr>
      </w:pPr>
      <w:r w:rsidRPr="0060039F">
        <w:rPr>
          <w:rFonts w:asciiTheme="majorHAnsi" w:hAnsiTheme="majorHAnsi" w:cstheme="majorHAnsi"/>
          <w:sz w:val="22"/>
          <w:szCs w:val="22"/>
        </w:rPr>
        <w:t>Escalation: Laddove le accuse risultassero gravi da richiedere un’escalation, verranno coinvolti il Responsabile HR di Gruppo e l’ufficio legale di competenza della zona. </w:t>
      </w:r>
    </w:p>
    <w:p w14:paraId="69C81FA5" w14:textId="77777777" w:rsidR="0060039F" w:rsidRPr="0060039F" w:rsidRDefault="0060039F" w:rsidP="0060039F">
      <w:pPr>
        <w:pStyle w:val="NormaleWeb"/>
        <w:numPr>
          <w:ilvl w:val="0"/>
          <w:numId w:val="26"/>
        </w:numPr>
        <w:rPr>
          <w:rFonts w:asciiTheme="majorHAnsi" w:hAnsiTheme="majorHAnsi" w:cstheme="majorHAnsi"/>
          <w:sz w:val="22"/>
          <w:szCs w:val="22"/>
        </w:rPr>
      </w:pPr>
      <w:r w:rsidRPr="0060039F">
        <w:rPr>
          <w:rFonts w:asciiTheme="majorHAnsi" w:hAnsiTheme="majorHAnsi" w:cstheme="majorHAnsi"/>
          <w:sz w:val="22"/>
          <w:szCs w:val="22"/>
        </w:rPr>
        <w:t>Riservatezza delle indagini: Per garantire che l'indagine rimanga riservata, coinvolgeremo solo le persone strettamente necessarie. Compliance Manager e HR possono condurre colloqui riservati con personale interno, clienti, partner commerciali, terze parti o chiunque ritengano rilevante per l'indagine stessa. </w:t>
      </w:r>
    </w:p>
    <w:p w14:paraId="3D72E05F"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In linea di massima, la conclusione di un'indagine richiede circa 90 giorni. Tuttavia, potremmo aver bisogno di più tempo in base alla complessità della segnalazione. </w:t>
      </w:r>
    </w:p>
    <w:p w14:paraId="27FDC9E9" w14:textId="4E25CDB4" w:rsidR="0060039F" w:rsidRPr="0060039F" w:rsidRDefault="0060039F" w:rsidP="0060039F">
      <w:pPr>
        <w:pStyle w:val="NormaleWeb"/>
        <w:numPr>
          <w:ilvl w:val="0"/>
          <w:numId w:val="27"/>
        </w:numPr>
        <w:rPr>
          <w:rFonts w:asciiTheme="majorHAnsi" w:hAnsiTheme="majorHAnsi" w:cstheme="majorHAnsi"/>
          <w:sz w:val="22"/>
          <w:szCs w:val="22"/>
        </w:rPr>
      </w:pPr>
      <w:r w:rsidRPr="0060039F">
        <w:rPr>
          <w:rFonts w:asciiTheme="majorHAnsi" w:hAnsiTheme="majorHAnsi" w:cstheme="majorHAnsi"/>
          <w:sz w:val="22"/>
          <w:szCs w:val="22"/>
        </w:rPr>
        <w:t>Feedback: Dopo aver esaminato tutti i risultati dell'indagine, decideremo se è necessario intraprendere ulteriori azioni. Vi terremo informati sui progressi, e invieremo un feedback finale che illustrerà l'esito dell'indagine. </w:t>
      </w:r>
    </w:p>
    <w:p w14:paraId="4E37C789"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lastRenderedPageBreak/>
        <w:t>Tra i possibili esiti che possono essere comunicati alla persona segnalante ci sono: </w:t>
      </w:r>
    </w:p>
    <w:p w14:paraId="4CEEAF15" w14:textId="77777777" w:rsidR="0060039F" w:rsidRPr="0060039F" w:rsidRDefault="0060039F" w:rsidP="0060039F">
      <w:pPr>
        <w:pStyle w:val="NormaleWeb"/>
        <w:numPr>
          <w:ilvl w:val="0"/>
          <w:numId w:val="28"/>
        </w:numPr>
        <w:rPr>
          <w:rFonts w:asciiTheme="majorHAnsi" w:hAnsiTheme="majorHAnsi" w:cstheme="majorHAnsi"/>
          <w:sz w:val="22"/>
          <w:szCs w:val="22"/>
        </w:rPr>
      </w:pPr>
      <w:r w:rsidRPr="0060039F">
        <w:rPr>
          <w:rFonts w:asciiTheme="majorHAnsi" w:hAnsiTheme="majorHAnsi" w:cstheme="majorHAnsi"/>
          <w:sz w:val="22"/>
          <w:szCs w:val="22"/>
        </w:rPr>
        <w:t>Correzione di processi interni </w:t>
      </w:r>
    </w:p>
    <w:p w14:paraId="7BBF8A13" w14:textId="77777777" w:rsidR="0060039F" w:rsidRPr="0060039F" w:rsidRDefault="0060039F" w:rsidP="0060039F">
      <w:pPr>
        <w:pStyle w:val="NormaleWeb"/>
        <w:numPr>
          <w:ilvl w:val="0"/>
          <w:numId w:val="29"/>
        </w:numPr>
        <w:rPr>
          <w:rFonts w:asciiTheme="majorHAnsi" w:hAnsiTheme="majorHAnsi" w:cstheme="majorHAnsi"/>
          <w:sz w:val="22"/>
          <w:szCs w:val="22"/>
        </w:rPr>
      </w:pPr>
      <w:r w:rsidRPr="0060039F">
        <w:rPr>
          <w:rFonts w:asciiTheme="majorHAnsi" w:hAnsiTheme="majorHAnsi" w:cstheme="majorHAnsi"/>
          <w:sz w:val="22"/>
          <w:szCs w:val="22"/>
        </w:rPr>
        <w:t>Avvio di un procedimento disciplinare </w:t>
      </w:r>
    </w:p>
    <w:p w14:paraId="7E20E5BF" w14:textId="77777777" w:rsidR="0060039F" w:rsidRPr="0060039F" w:rsidRDefault="0060039F" w:rsidP="0060039F">
      <w:pPr>
        <w:pStyle w:val="NormaleWeb"/>
        <w:numPr>
          <w:ilvl w:val="0"/>
          <w:numId w:val="30"/>
        </w:numPr>
        <w:rPr>
          <w:rFonts w:asciiTheme="majorHAnsi" w:hAnsiTheme="majorHAnsi" w:cstheme="majorHAnsi"/>
          <w:sz w:val="22"/>
          <w:szCs w:val="22"/>
        </w:rPr>
      </w:pPr>
      <w:r w:rsidRPr="0060039F">
        <w:rPr>
          <w:rFonts w:asciiTheme="majorHAnsi" w:hAnsiTheme="majorHAnsi" w:cstheme="majorHAnsi"/>
          <w:sz w:val="22"/>
          <w:szCs w:val="22"/>
        </w:rPr>
        <w:t>Trasferimento dei risultati delle attività di accertamento alla procura della Repubblica (e/o della Corte dei Conti in caso di danno erariale) </w:t>
      </w:r>
    </w:p>
    <w:p w14:paraId="4F1AD17D" w14:textId="77777777" w:rsidR="0060039F" w:rsidRPr="0060039F" w:rsidRDefault="0060039F" w:rsidP="0060039F">
      <w:pPr>
        <w:pStyle w:val="NormaleWeb"/>
        <w:numPr>
          <w:ilvl w:val="0"/>
          <w:numId w:val="31"/>
        </w:numPr>
        <w:rPr>
          <w:rFonts w:asciiTheme="majorHAnsi" w:hAnsiTheme="majorHAnsi" w:cstheme="majorHAnsi"/>
          <w:sz w:val="22"/>
          <w:szCs w:val="22"/>
        </w:rPr>
      </w:pPr>
      <w:r w:rsidRPr="0060039F">
        <w:rPr>
          <w:rFonts w:asciiTheme="majorHAnsi" w:hAnsiTheme="majorHAnsi" w:cstheme="majorHAnsi"/>
          <w:sz w:val="22"/>
          <w:szCs w:val="22"/>
        </w:rPr>
        <w:t>Archiviazione per mancanza di evidenze </w:t>
      </w:r>
    </w:p>
    <w:p w14:paraId="7CDAA4FD" w14:textId="1D84F87D"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La segnalazione che venga erroneamente inviata al superiore gerarchico potrebbe non essere trattata come una segnalazione di Whistleblowing, in quanto non avente gli stessi obblighi di riservatezza in carico al soggetto ricevente.  </w:t>
      </w:r>
    </w:p>
    <w:p w14:paraId="6AF872DF"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b/>
          <w:bCs/>
          <w:sz w:val="22"/>
          <w:szCs w:val="22"/>
        </w:rPr>
        <w:t>Divieto di ritorsione nei confronti del whistleblower</w:t>
      </w:r>
      <w:r w:rsidRPr="0060039F">
        <w:rPr>
          <w:rFonts w:asciiTheme="majorHAnsi" w:hAnsiTheme="majorHAnsi" w:cstheme="majorHAnsi"/>
          <w:sz w:val="22"/>
          <w:szCs w:val="22"/>
        </w:rPr>
        <w:t> </w:t>
      </w:r>
    </w:p>
    <w:p w14:paraId="536ECEFD" w14:textId="776B32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Nei confronti dell’Utente che effettua una segnalazione ai sensi della presente procedura, Medov non consente né tollera alcuna forma di ritorsione o misura discriminatoria, diretta o indiretta, avente effetti sulle condizioni di lavoro per motivi collegati direttamente o indirettamente alla denuncia.  </w:t>
      </w:r>
    </w:p>
    <w:p w14:paraId="0965781F" w14:textId="483C6113"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Per le segnalazioni rientranti nella sfera applicativa del Decreto Legislativo n. 24/2023, nell’ipotesi in cui (i) la segnalazione non abbia avuto seguito, il segnalante (ii) abbia fondati motivi di ritenere che, se effettuasse la segnalazione interna, questa non avrebbe seguito o andrebbe incontro a ritorsioni, (iii) abbia fondati motivi di ritenere che la violazione possa costituire un pericolo imminente o palese per il pubblico interesse, lo stesso potrà ricorrere al canale di segnalazione istituito dall’Autorità Nazionale Anticorruzione (ANAC) e disponibile sul sito web della stessa: </w:t>
      </w:r>
      <w:hyperlink r:id="rId10" w:tgtFrame="_blank" w:history="1">
        <w:r w:rsidRPr="0060039F">
          <w:rPr>
            <w:rStyle w:val="Collegamentoipertestuale"/>
            <w:rFonts w:asciiTheme="majorHAnsi" w:hAnsiTheme="majorHAnsi" w:cstheme="majorHAnsi"/>
            <w:sz w:val="22"/>
            <w:szCs w:val="22"/>
          </w:rPr>
          <w:t>Autorità Nazionale Anticorruzione</w:t>
        </w:r>
      </w:hyperlink>
      <w:r w:rsidRPr="0060039F">
        <w:rPr>
          <w:rFonts w:asciiTheme="majorHAnsi" w:hAnsiTheme="majorHAnsi" w:cstheme="majorHAnsi"/>
          <w:sz w:val="22"/>
          <w:szCs w:val="22"/>
        </w:rPr>
        <w:t>  </w:t>
      </w:r>
    </w:p>
    <w:p w14:paraId="14BDF576"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b/>
          <w:bCs/>
          <w:sz w:val="22"/>
          <w:szCs w:val="22"/>
        </w:rPr>
        <w:t>Perdita delle tutele del whistleblower</w:t>
      </w:r>
      <w:r w:rsidRPr="0060039F">
        <w:rPr>
          <w:rFonts w:asciiTheme="majorHAnsi" w:hAnsiTheme="majorHAnsi" w:cstheme="majorHAnsi"/>
          <w:sz w:val="22"/>
          <w:szCs w:val="22"/>
        </w:rPr>
        <w:t> </w:t>
      </w:r>
    </w:p>
    <w:p w14:paraId="567E6C2F"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Resta valida la responsabilità penale e disciplinare del whistleblower nell’ipotesi di segnalazione calunniosa o diffamatoria, ai sensi del codice penale e dell’art. 2043 del codice civile. </w:t>
      </w:r>
    </w:p>
    <w:p w14:paraId="4B092961"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Sono altresì fonte di responsabilità, in sede disciplinare e nelle altre competenti sedi, eventuali forme di abuso della presente procedura, quali le segnalazioni manifestamente opportunistiche e/o effettuate al solo scopo di danneggiare il soggetto denunciato o altri soggetti, e ogni altra ipotesi di utilizzo improprio o di intenzionale strumentalizzazione dell’istituto oggetto della presente procedura. </w:t>
      </w:r>
    </w:p>
    <w:p w14:paraId="39855411" w14:textId="77777777" w:rsidR="0060039F" w:rsidRP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ANAC può applicare una pena pecuniaria da € 500,00 a € 2.500,00, nel caso di perdita delle tutele, salvo che la persona segnalante sia stata condannata, anche in primo grado, per i reati di diffamazione o di calunnia o comunque per i medesimi reati commessi con la denuncia all’autorità giudiziaria o contabile.   </w:t>
      </w:r>
    </w:p>
    <w:p w14:paraId="4AF6E43F" w14:textId="0A1B319F" w:rsidR="0060039F" w:rsidRDefault="0060039F" w:rsidP="0060039F">
      <w:pPr>
        <w:pStyle w:val="NormaleWeb"/>
        <w:rPr>
          <w:rFonts w:asciiTheme="majorHAnsi" w:hAnsiTheme="majorHAnsi" w:cstheme="majorHAnsi"/>
          <w:sz w:val="22"/>
          <w:szCs w:val="22"/>
        </w:rPr>
      </w:pPr>
      <w:r w:rsidRPr="0060039F">
        <w:rPr>
          <w:rFonts w:asciiTheme="majorHAnsi" w:hAnsiTheme="majorHAnsi" w:cstheme="majorHAnsi"/>
          <w:sz w:val="22"/>
          <w:szCs w:val="22"/>
        </w:rPr>
        <w:t>Medov potrà comminare una sanzione pecuniaria e/o disciplinare secondo il proprio sistema disciplinare e i requisiti riportati nel CCNL e dalla normativa vigente applicabile</w:t>
      </w:r>
      <w:r w:rsidR="005F18AC">
        <w:rPr>
          <w:rFonts w:asciiTheme="majorHAnsi" w:hAnsiTheme="majorHAnsi" w:cstheme="majorHAnsi"/>
          <w:sz w:val="22"/>
          <w:szCs w:val="22"/>
        </w:rPr>
        <w:t>.</w:t>
      </w:r>
    </w:p>
    <w:p w14:paraId="1E351802" w14:textId="328F2922"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lastRenderedPageBreak/>
        <w:t xml:space="preserve">Informazioni sul trattamento dei dati personali </w:t>
      </w:r>
    </w:p>
    <w:p w14:paraId="31745AB3" w14:textId="77777777" w:rsidR="005F18AC" w:rsidRPr="005F18AC" w:rsidRDefault="005F18AC" w:rsidP="005F18AC">
      <w:pPr>
        <w:pStyle w:val="NormaleWeb"/>
        <w:rPr>
          <w:rFonts w:asciiTheme="majorHAnsi" w:hAnsiTheme="majorHAnsi" w:cstheme="majorHAnsi"/>
          <w:b/>
          <w:bCs/>
          <w:sz w:val="22"/>
          <w:szCs w:val="22"/>
        </w:rPr>
      </w:pPr>
      <w:r w:rsidRPr="005F18AC">
        <w:rPr>
          <w:rFonts w:asciiTheme="majorHAnsi" w:hAnsiTheme="majorHAnsi" w:cstheme="majorHAnsi"/>
          <w:b/>
          <w:bCs/>
          <w:sz w:val="22"/>
          <w:szCs w:val="22"/>
        </w:rPr>
        <w:t>Riservatezza</w:t>
      </w:r>
    </w:p>
    <w:p w14:paraId="57C84BFC"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Tutti gli uffici preposti alla segnalazione manterranno riservata l'identità i) della persona che fornisce le informazioni, ii) della persona oggetto della segnalazione e iii) di ogni altra persona menzionata nella segnalazione. Tuttavia, possono esserci delle eccezioni a questo principio di riservatezza, ad esempio se la persona che effettua la segnalazione fornisce informazioni intenzionalmente o per grave negligenza non corrette, o se le informazioni devono essere divulgate su richiesta o ordine delle autorità di polizia, in un procedimento amministrativo o in base a una decisione del tribunale.</w:t>
      </w:r>
    </w:p>
    <w:p w14:paraId="4082B2BB" w14:textId="65E05B7E"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Vi invitiamo a identificarvi per permetterci di rispondere alle vostre domande, ma saranno accettate anche segnalazioni anonime (a meno che non sia possibile in base alle leggi locali).</w:t>
      </w:r>
    </w:p>
    <w:p w14:paraId="710F92D6" w14:textId="77777777" w:rsidR="005F18AC" w:rsidRPr="005F18AC" w:rsidRDefault="005F18AC" w:rsidP="005F18AC">
      <w:pPr>
        <w:pStyle w:val="NormaleWeb"/>
        <w:rPr>
          <w:rFonts w:asciiTheme="majorHAnsi" w:hAnsiTheme="majorHAnsi" w:cstheme="majorHAnsi"/>
          <w:b/>
          <w:bCs/>
          <w:sz w:val="22"/>
          <w:szCs w:val="22"/>
        </w:rPr>
      </w:pPr>
      <w:r w:rsidRPr="005F18AC">
        <w:rPr>
          <w:rFonts w:asciiTheme="majorHAnsi" w:hAnsiTheme="majorHAnsi" w:cstheme="majorHAnsi"/>
          <w:b/>
          <w:bCs/>
          <w:sz w:val="22"/>
          <w:szCs w:val="22"/>
        </w:rPr>
        <w:t xml:space="preserve">Informativa sulla protezione dei dati </w:t>
      </w:r>
    </w:p>
    <w:p w14:paraId="7D8112F3"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 xml:space="preserve">In qualità di Società contattata e destinataria della segnalazione, Medov srl con sede legale in L. go San Giuseppe, 3/36 – 16121 Genova è Titolare del trattamento dei dati personali. </w:t>
      </w:r>
    </w:p>
    <w:p w14:paraId="146464F3" w14:textId="6B22EB5B"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 xml:space="preserve">Se la non conformità viene segnalata attraverso il canale di Whistleblowing Medov, si informa che il sito web attraverso il quale è possibile segnalare un caso è gestito da un Fornitore Esterno. In questo caso, il titolare del trattamento dei dati personali rimane Medov srl, e il Fornitore Esterno agirà in qualità di Responsabile del trattamento. </w:t>
      </w:r>
    </w:p>
    <w:p w14:paraId="6A8188C1"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In questa informativa, quando parliamo di dati personali, intendiamo qualsiasi informazione che si riferisce a una persona identificata o identificabile - in questo caso, voi o qualsiasi altro individuo - i cui dati personali sono trattati come parte di una segnalazione presentata attraverso il sistema Whistleblowing di Medov.</w:t>
      </w:r>
    </w:p>
    <w:p w14:paraId="68E256D7" w14:textId="35ABE231"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Tutti i dati personali elaborati attraverso il sistema Whistleblowing di Medov saranno trattati in conformità alla legislazione vigente, compreso il Regolamento Generale sulla Protezione dei Dati dell'UE ("GDPR"). L'Utente è tenuto a leggere la presente informativa, in modo da essere consapevole dei dati personali che Medov può raccogliere, l'uso che Medov ne può fare e le modalità di esercizio dei propri diritti in relazione ad essi. È inoltre necessario leggere qualsiasi altra informativa sulla privacy fornita da Medov, che potrebbe essere applicata di volta in volta all'utilizzo dei dati personali dell'Utente in circostanze specifiche.</w:t>
      </w:r>
    </w:p>
    <w:p w14:paraId="4E2A6A9E" w14:textId="77777777" w:rsidR="005F18AC" w:rsidRPr="005F18AC" w:rsidRDefault="005F18AC" w:rsidP="005F18AC">
      <w:pPr>
        <w:pStyle w:val="NormaleWeb"/>
        <w:rPr>
          <w:rFonts w:asciiTheme="majorHAnsi" w:hAnsiTheme="majorHAnsi" w:cstheme="majorHAnsi"/>
          <w:b/>
          <w:bCs/>
          <w:sz w:val="22"/>
          <w:szCs w:val="22"/>
        </w:rPr>
      </w:pPr>
      <w:r w:rsidRPr="005F18AC">
        <w:rPr>
          <w:rFonts w:asciiTheme="majorHAnsi" w:hAnsiTheme="majorHAnsi" w:cstheme="majorHAnsi"/>
          <w:b/>
          <w:bCs/>
          <w:sz w:val="22"/>
          <w:szCs w:val="22"/>
        </w:rPr>
        <w:t>Dati personali raccolti</w:t>
      </w:r>
    </w:p>
    <w:p w14:paraId="4C491A8C"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Medov può raccogliere e utilizzare alcune o tutte le seguenti informazioni per gli scopi descritti di seguito:</w:t>
      </w:r>
    </w:p>
    <w:p w14:paraId="2B8C3CF6"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Dati personali, come il nome, il titolo e i dati di contatto;</w:t>
      </w:r>
    </w:p>
    <w:p w14:paraId="3E0B6383"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Dati personali, come nomi, titoli e recapiti delle persone citate nel rapporto;</w:t>
      </w:r>
    </w:p>
    <w:p w14:paraId="55F570A1"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lastRenderedPageBreak/>
        <w:t>Una descrizione della presunta violazione, nonché delle circostanze coinvolte (comprese le date e i luoghi interessati); e</w:t>
      </w:r>
    </w:p>
    <w:p w14:paraId="43EEBABD"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Qualsiasi altra informazione pertinente.</w:t>
      </w:r>
    </w:p>
    <w:p w14:paraId="387EADDE"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Medov tratterà le informazioni di cui sopra, compresi i dati personali, allo scopo di garantire la conformità alla legislazione e alle policy interne applicabili, per la difesa delle richieste legali e per assicurare il benessere del personale Medov. Inoltre, potremmo richiedere i dati personali dell'Utente per adempiere ai nostri obblighi di monitoraggio e segnalazione normativa.</w:t>
      </w:r>
    </w:p>
    <w:p w14:paraId="446CCBA6" w14:textId="77777777" w:rsidR="005F18AC" w:rsidRPr="005F18AC" w:rsidRDefault="005F18AC" w:rsidP="005F18AC">
      <w:pPr>
        <w:pStyle w:val="NormaleWeb"/>
        <w:rPr>
          <w:rFonts w:asciiTheme="majorHAnsi" w:hAnsiTheme="majorHAnsi" w:cstheme="majorHAnsi"/>
          <w:b/>
          <w:bCs/>
          <w:sz w:val="22"/>
          <w:szCs w:val="22"/>
        </w:rPr>
      </w:pPr>
      <w:r w:rsidRPr="005F18AC">
        <w:rPr>
          <w:rFonts w:asciiTheme="majorHAnsi" w:hAnsiTheme="majorHAnsi" w:cstheme="majorHAnsi"/>
          <w:b/>
          <w:bCs/>
          <w:sz w:val="22"/>
          <w:szCs w:val="22"/>
        </w:rPr>
        <w:t>Base giuridica per il trattamento dei dati personali</w:t>
      </w:r>
    </w:p>
    <w:p w14:paraId="1CCD672A"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La base giuridica per la raccolta e l'utilizzo dei dati personali sopra descritti è il nostro legittimo interesse a indagare sulla segnalazione inviata. In alcuni casi, possiamo anche trattare i dati personali per soddisfare un obbligo legale. Inoltre, presumiamo che l'Utente abbia presentato una segnalazione su base volontaria, e che il relativo trattamento possa essere legittimamente basato sul suo consenso.</w:t>
      </w:r>
    </w:p>
    <w:p w14:paraId="5F30B62A" w14:textId="77777777" w:rsidR="005F18AC" w:rsidRPr="005F18AC" w:rsidRDefault="005F18AC" w:rsidP="005F18AC">
      <w:pPr>
        <w:pStyle w:val="NormaleWeb"/>
        <w:rPr>
          <w:rFonts w:asciiTheme="majorHAnsi" w:hAnsiTheme="majorHAnsi" w:cstheme="majorHAnsi"/>
          <w:b/>
          <w:bCs/>
          <w:sz w:val="22"/>
          <w:szCs w:val="22"/>
        </w:rPr>
      </w:pPr>
      <w:r w:rsidRPr="005F18AC">
        <w:rPr>
          <w:rFonts w:asciiTheme="majorHAnsi" w:hAnsiTheme="majorHAnsi" w:cstheme="majorHAnsi"/>
          <w:b/>
          <w:bCs/>
          <w:sz w:val="22"/>
          <w:szCs w:val="22"/>
        </w:rPr>
        <w:t>Condivisione e protezione dei dati personali</w:t>
      </w:r>
    </w:p>
    <w:p w14:paraId="6AC950A8"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Le informazioni fornite dall'Utente saranno trattate in modo confidenziale e condivise solo sulla base di una stretta necessità di conoscenza. I dati personali inviati nell'ambito di una segnalazione possono essere trattati dal personale competente di Medov, compresi i destinatari autorizzati e, a seconda della natura della segnalazione, i membri dei dipartimenti HR, Finance, Compliance. I dati personali possono essere condivisi anche con terze parti, ad esempio il fornitore esterno che gestisce i canali di Whistleblowing di Medov e i consulenti esterni (ad esempio, i consulenti legali) per assistere nell'indagine di qualsiasi segnalazione presentata. Inoltre, i dati personali dell'Utente potrebbero essere condivisi con gli organi competenti per l'applicazione della legge, le associazioni di imprese e le autorità di regolamentazione, le agenzie governative, i tribunali o altre terze parti, qualora riteniamo che la divulgazione sia necessaria (i) in base alla legge o alle normative vigenti, (ii) per esercitare, stabilire o difendere i nostri diritti legali, o (iii) per proteggere i vostri interessi vitali o quelli di qualsiasi altra persona.</w:t>
      </w:r>
    </w:p>
    <w:p w14:paraId="48283059"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 xml:space="preserve">Potranno avere accesso ai dati personali, per finalità strettamente tecniche ed attinenti alla gestione e amministrazione delle informazioni e dei dati ricevuti, i fornitori del servizio per la gestione della segnalazione, che agiranno in qualità di responsabili del trattamento sulla base di specifiche istruzioni fornite dal titolare (Resp. Esterno designato: I.L. INVESTIMENTI Srl). </w:t>
      </w:r>
    </w:p>
    <w:p w14:paraId="7719A7A8" w14:textId="321D6250"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Infine, condividiamo anche le informazioni relative all'utilizzo dei canali Whistleblowing con la direzione di Medov e con altre società del gruppo, ma queste non conterranno mai dati personali e si limiteranno a dati statistici o aggregati.</w:t>
      </w:r>
    </w:p>
    <w:p w14:paraId="2E41D4CA" w14:textId="77777777" w:rsidR="005F18AC" w:rsidRPr="005F18AC" w:rsidRDefault="005F18AC" w:rsidP="005F18AC">
      <w:pPr>
        <w:pStyle w:val="NormaleWeb"/>
        <w:rPr>
          <w:rFonts w:asciiTheme="majorHAnsi" w:hAnsiTheme="majorHAnsi" w:cstheme="majorHAnsi"/>
          <w:b/>
          <w:bCs/>
          <w:sz w:val="22"/>
          <w:szCs w:val="22"/>
        </w:rPr>
      </w:pPr>
      <w:r w:rsidRPr="005F18AC">
        <w:rPr>
          <w:rFonts w:asciiTheme="majorHAnsi" w:hAnsiTheme="majorHAnsi" w:cstheme="majorHAnsi"/>
          <w:b/>
          <w:bCs/>
          <w:sz w:val="22"/>
          <w:szCs w:val="22"/>
        </w:rPr>
        <w:t>Tempo di conservazione delle informazioni</w:t>
      </w:r>
    </w:p>
    <w:p w14:paraId="2E8D0D7E"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Conserviamo i dati personali per tutto il tempo necessario, qualora ne abbiamo una legittima necessità (ad esempio, per ottemperare ai requisiti legali applicabili).</w:t>
      </w:r>
    </w:p>
    <w:p w14:paraId="744B78E1"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lastRenderedPageBreak/>
        <w:t>Le informazioni relative a una segnalazione effettuata tramite il sistema Whistleblowing di Medov saranno archiviate o cancellate in base ai seguenti criteri: quando l'indagine è stata chiusa e non sono necessarie ulteriori azioni; quando è scaduto il periodo di tempo per qualsiasi controversia pertinente; e quando sono scaduti i nostri obblighi di conservazione della documentazione relativa alle indagini.</w:t>
      </w:r>
    </w:p>
    <w:p w14:paraId="79FB98FC" w14:textId="2C51721A"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In ogni caso i dati personali sono conservati in una forma che consenta l'identificazione delle persone interessate per un arco di tempo non superiore al conseguimento delle finalità per le quali sono trattati, e le segnalazioni e la relativa documentazione saranno conservate per il tempo necessario alla trattazione della segnalazione e, comunque, non oltre 5 anni dalla comunicazione dell’esito finale della procedura.</w:t>
      </w:r>
    </w:p>
    <w:p w14:paraId="4428E618" w14:textId="77777777" w:rsidR="005F18AC" w:rsidRPr="005F18AC" w:rsidRDefault="005F18AC" w:rsidP="005F18AC">
      <w:pPr>
        <w:pStyle w:val="NormaleWeb"/>
        <w:rPr>
          <w:rFonts w:asciiTheme="majorHAnsi" w:hAnsiTheme="majorHAnsi" w:cstheme="majorHAnsi"/>
          <w:b/>
          <w:bCs/>
          <w:sz w:val="22"/>
          <w:szCs w:val="22"/>
        </w:rPr>
      </w:pPr>
      <w:r w:rsidRPr="005F18AC">
        <w:rPr>
          <w:rFonts w:asciiTheme="majorHAnsi" w:hAnsiTheme="majorHAnsi" w:cstheme="majorHAnsi"/>
          <w:b/>
          <w:bCs/>
          <w:sz w:val="22"/>
          <w:szCs w:val="22"/>
        </w:rPr>
        <w:t>I vostri diritti</w:t>
      </w:r>
    </w:p>
    <w:p w14:paraId="32A72BF7" w14:textId="4B931D85"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L'Utente ha i seguenti diritti relativi ai dati personali trattati da Medov, che possono essere applicati a seconda delle circostanze:</w:t>
      </w:r>
    </w:p>
    <w:tbl>
      <w:tblPr>
        <w:tblStyle w:val="Tabellasemplice-1"/>
        <w:tblW w:w="0" w:type="auto"/>
        <w:tblLook w:val="04A0" w:firstRow="1" w:lastRow="0" w:firstColumn="1" w:lastColumn="0" w:noHBand="0" w:noVBand="1"/>
      </w:tblPr>
      <w:tblGrid>
        <w:gridCol w:w="3112"/>
        <w:gridCol w:w="6510"/>
      </w:tblGrid>
      <w:tr w:rsidR="005F18AC" w:rsidRPr="005F18AC" w14:paraId="1B0B0051" w14:textId="77777777" w:rsidTr="009751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24E6FAE" w14:textId="77777777" w:rsidR="005F18AC" w:rsidRPr="005F18AC" w:rsidRDefault="005F18AC" w:rsidP="005F18A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1. Diritto di essere informati</w:t>
            </w:r>
          </w:p>
        </w:tc>
        <w:tc>
          <w:tcPr>
            <w:tcW w:w="6514" w:type="dxa"/>
          </w:tcPr>
          <w:p w14:paraId="261F54F5" w14:textId="77777777" w:rsidR="005F18AC" w:rsidRPr="005F18AC" w:rsidRDefault="005F18AC" w:rsidP="005F18AC">
            <w:pPr>
              <w:pStyle w:val="NormaleWeb"/>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L'Utente ha il diritto di ricevere informazioni chiare, trasparenti e facilmente comprensibili su come vengono utilizzate le sue informazioni e sui suoi diritti. Tali informazioni sono contenute nella presente Informativa.</w:t>
            </w:r>
          </w:p>
        </w:tc>
      </w:tr>
      <w:tr w:rsidR="005F18AC" w:rsidRPr="005F18AC" w14:paraId="4C078C43" w14:textId="77777777" w:rsidTr="0097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017D794" w14:textId="77777777" w:rsidR="005F18AC" w:rsidRPr="005F18AC" w:rsidRDefault="005F18AC" w:rsidP="005F18A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2. Diritto di accesso</w:t>
            </w:r>
            <w:r w:rsidRPr="005F18AC">
              <w:rPr>
                <w:rFonts w:asciiTheme="majorHAnsi" w:hAnsiTheme="majorHAnsi" w:cstheme="majorHAnsi"/>
                <w:b w:val="0"/>
                <w:bCs w:val="0"/>
                <w:kern w:val="0"/>
                <w:sz w:val="22"/>
                <w:szCs w:val="22"/>
                <w14:ligatures w14:val="none"/>
              </w:rPr>
              <w:tab/>
            </w:r>
          </w:p>
        </w:tc>
        <w:tc>
          <w:tcPr>
            <w:tcW w:w="6514" w:type="dxa"/>
          </w:tcPr>
          <w:p w14:paraId="7DB60C6C" w14:textId="77777777" w:rsidR="005F18AC" w:rsidRPr="005F18AC" w:rsidRDefault="005F18AC" w:rsidP="005F18AC">
            <w:pPr>
              <w:pStyle w:val="Normale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22"/>
                <w:szCs w:val="22"/>
                <w14:ligatures w14:val="none"/>
              </w:rPr>
            </w:pPr>
            <w:r w:rsidRPr="005F18AC">
              <w:rPr>
                <w:rFonts w:asciiTheme="majorHAnsi" w:hAnsiTheme="majorHAnsi" w:cstheme="majorHAnsi"/>
                <w:kern w:val="0"/>
                <w:sz w:val="22"/>
                <w:szCs w:val="22"/>
                <w14:ligatures w14:val="none"/>
              </w:rPr>
              <w:t>L'Utente ha il diritto di ottenere l'accesso alle proprie informazioni (se un’organizzazione le sta elaborando) e a determinate altre informazioni (simili a quelle fornite in questa Informativa).</w:t>
            </w:r>
          </w:p>
        </w:tc>
      </w:tr>
      <w:tr w:rsidR="005F18AC" w:rsidRPr="005F18AC" w14:paraId="6566BACC" w14:textId="77777777" w:rsidTr="00975122">
        <w:tc>
          <w:tcPr>
            <w:cnfStyle w:val="001000000000" w:firstRow="0" w:lastRow="0" w:firstColumn="1" w:lastColumn="0" w:oddVBand="0" w:evenVBand="0" w:oddHBand="0" w:evenHBand="0" w:firstRowFirstColumn="0" w:firstRowLastColumn="0" w:lastRowFirstColumn="0" w:lastRowLastColumn="0"/>
            <w:tcW w:w="3114" w:type="dxa"/>
            <w:vAlign w:val="center"/>
          </w:tcPr>
          <w:p w14:paraId="589CB816" w14:textId="77777777" w:rsidR="005F18AC" w:rsidRPr="005F18AC" w:rsidRDefault="005F18AC" w:rsidP="005F18A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3. Diritto alla rettifica</w:t>
            </w:r>
          </w:p>
        </w:tc>
        <w:tc>
          <w:tcPr>
            <w:tcW w:w="6514" w:type="dxa"/>
          </w:tcPr>
          <w:p w14:paraId="0F4F045A" w14:textId="77777777" w:rsidR="005F18AC" w:rsidRPr="005F18AC" w:rsidRDefault="005F18AC" w:rsidP="005F18AC">
            <w:pPr>
              <w:pStyle w:val="Normale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22"/>
                <w:szCs w:val="22"/>
                <w14:ligatures w14:val="none"/>
              </w:rPr>
            </w:pPr>
            <w:r w:rsidRPr="005F18AC">
              <w:rPr>
                <w:rFonts w:asciiTheme="majorHAnsi" w:hAnsiTheme="majorHAnsi" w:cstheme="majorHAnsi"/>
                <w:kern w:val="0"/>
                <w:sz w:val="22"/>
                <w:szCs w:val="22"/>
                <w14:ligatures w14:val="none"/>
              </w:rPr>
              <w:t>L'Utente ha il diritto di far correggere le proprie informazioni se sono inesatte o incomplete.</w:t>
            </w:r>
          </w:p>
        </w:tc>
      </w:tr>
      <w:tr w:rsidR="005F18AC" w:rsidRPr="005F18AC" w14:paraId="45BB6DB2" w14:textId="77777777" w:rsidTr="0097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3119169A" w14:textId="77777777" w:rsidR="005F18AC" w:rsidRPr="005F18AC" w:rsidRDefault="005F18AC" w:rsidP="005F18A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4. Diritto alla cancellazione</w:t>
            </w:r>
          </w:p>
        </w:tc>
        <w:tc>
          <w:tcPr>
            <w:tcW w:w="6514" w:type="dxa"/>
          </w:tcPr>
          <w:p w14:paraId="2A84DA67" w14:textId="77777777" w:rsidR="005F18AC" w:rsidRPr="005F18AC" w:rsidRDefault="005F18AC" w:rsidP="005F18AC">
            <w:pPr>
              <w:pStyle w:val="Normale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22"/>
                <w:szCs w:val="22"/>
                <w14:ligatures w14:val="none"/>
              </w:rPr>
            </w:pPr>
            <w:r w:rsidRPr="005F18AC">
              <w:rPr>
                <w:rFonts w:asciiTheme="majorHAnsi" w:hAnsiTheme="majorHAnsi" w:cstheme="majorHAnsi"/>
                <w:kern w:val="0"/>
                <w:sz w:val="22"/>
                <w:szCs w:val="22"/>
                <w14:ligatures w14:val="none"/>
              </w:rPr>
              <w:t>Noto anche come "diritto all'oblio", questo diritto consente di richiedere la cancellazione o la rimozione delle vostre informazioni qualora non vi sia alcun motivo valido per cui un'organizzazione debba continuare a utilizzarle. Non si tratta di un diritto generale alla cancellazione, in quanto sono previste delle eccezioni (ad esempio, se l'Utente ha fornito il proprio consenso al trattamento, questo si applica solo nel caso in cui l'Utente decida di ritirare il proprio consenso).</w:t>
            </w:r>
          </w:p>
        </w:tc>
      </w:tr>
      <w:tr w:rsidR="005F18AC" w:rsidRPr="005F18AC" w14:paraId="05937F31" w14:textId="77777777" w:rsidTr="00975122">
        <w:tc>
          <w:tcPr>
            <w:cnfStyle w:val="001000000000" w:firstRow="0" w:lastRow="0" w:firstColumn="1" w:lastColumn="0" w:oddVBand="0" w:evenVBand="0" w:oddHBand="0" w:evenHBand="0" w:firstRowFirstColumn="0" w:firstRowLastColumn="0" w:lastRowFirstColumn="0" w:lastRowLastColumn="0"/>
            <w:tcW w:w="3114" w:type="dxa"/>
            <w:vAlign w:val="center"/>
          </w:tcPr>
          <w:p w14:paraId="426C1C0E" w14:textId="77777777" w:rsidR="005F18AC" w:rsidRPr="005F18AC" w:rsidRDefault="005F18AC" w:rsidP="005F18A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5. Diritto di limitare il trattamento</w:t>
            </w:r>
          </w:p>
        </w:tc>
        <w:tc>
          <w:tcPr>
            <w:tcW w:w="6514" w:type="dxa"/>
          </w:tcPr>
          <w:p w14:paraId="487D2F7C" w14:textId="77777777" w:rsidR="005F18AC" w:rsidRPr="005F18AC" w:rsidRDefault="005F18AC" w:rsidP="005F18AC">
            <w:pPr>
              <w:pStyle w:val="Normale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22"/>
                <w:szCs w:val="22"/>
                <w14:ligatures w14:val="none"/>
              </w:rPr>
            </w:pPr>
            <w:r w:rsidRPr="005F18AC">
              <w:rPr>
                <w:rFonts w:asciiTheme="majorHAnsi" w:hAnsiTheme="majorHAnsi" w:cstheme="majorHAnsi"/>
                <w:kern w:val="0"/>
                <w:sz w:val="22"/>
                <w:szCs w:val="22"/>
                <w14:ligatures w14:val="none"/>
              </w:rPr>
              <w:t>L'Utente ha il diritto di "bloccare" o sopprimere l'ulteriore utilizzo delle sue informazioni in determinate circostanze. Quando l'elaborazione è limitata, l'organizzazione competente può ancora conservare le vostre informazioni, ma non può utilizzarle ulteriormente. Si noti che il diritto di limitare l'elaborazione è circoscritto ad alcune situazioni; ad esempio, quando trattiamo i dati personali che abbiamo raccolto da voi con il vostro consenso, potete richiedere la restrizione solo sulla base dell'inesattezza dei dati o quando la nostra elaborazione sia illecita e non volete che i vostri dati personali vengano cancellati o ne avete bisogno per un reclamo legale. Non avete questo diritto se stiamo trattando i vostri dati personali per ottemperare alla legge.</w:t>
            </w:r>
          </w:p>
        </w:tc>
      </w:tr>
      <w:tr w:rsidR="005F18AC" w:rsidRPr="005F18AC" w14:paraId="6AE5D5BB" w14:textId="77777777" w:rsidTr="0097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68337CC" w14:textId="77777777" w:rsidR="005F18AC" w:rsidRPr="005F18AC" w:rsidRDefault="005F18AC" w:rsidP="005F18A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lastRenderedPageBreak/>
              <w:t>6. Diritto alla portabilità dei dati</w:t>
            </w:r>
          </w:p>
        </w:tc>
        <w:tc>
          <w:tcPr>
            <w:tcW w:w="6514" w:type="dxa"/>
          </w:tcPr>
          <w:p w14:paraId="73003B0A" w14:textId="77777777" w:rsidR="005F18AC" w:rsidRPr="005F18AC" w:rsidRDefault="005F18AC" w:rsidP="005F18AC">
            <w:pPr>
              <w:pStyle w:val="Normale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0"/>
                <w:sz w:val="22"/>
                <w:szCs w:val="22"/>
                <w14:ligatures w14:val="none"/>
              </w:rPr>
            </w:pPr>
            <w:r w:rsidRPr="005F18AC">
              <w:rPr>
                <w:rFonts w:asciiTheme="majorHAnsi" w:hAnsiTheme="majorHAnsi" w:cstheme="majorHAnsi"/>
                <w:kern w:val="0"/>
                <w:sz w:val="22"/>
                <w:szCs w:val="22"/>
                <w14:ligatures w14:val="none"/>
              </w:rPr>
              <w:t>L'Utente ha il diritto di ottenere e riutilizzare i propri dati personali in un formato strutturato, comunemente utilizzato e leggibile da un dispositivo automatico in determinate circostanze, che non includono il caso in cui il trattamento venga effettuato sulla base di interessi legittimi o per ottemperare alla legge.</w:t>
            </w:r>
          </w:p>
        </w:tc>
      </w:tr>
      <w:tr w:rsidR="005F18AC" w:rsidRPr="005F18AC" w14:paraId="20CA01BA" w14:textId="77777777" w:rsidTr="00975122">
        <w:tc>
          <w:tcPr>
            <w:cnfStyle w:val="001000000000" w:firstRow="0" w:lastRow="0" w:firstColumn="1" w:lastColumn="0" w:oddVBand="0" w:evenVBand="0" w:oddHBand="0" w:evenHBand="0" w:firstRowFirstColumn="0" w:firstRowLastColumn="0" w:lastRowFirstColumn="0" w:lastRowLastColumn="0"/>
            <w:tcW w:w="3114" w:type="dxa"/>
            <w:vAlign w:val="center"/>
          </w:tcPr>
          <w:p w14:paraId="0E4564BE" w14:textId="77777777" w:rsidR="005F18AC" w:rsidRPr="005F18AC" w:rsidRDefault="005F18AC" w:rsidP="005F18AC">
            <w:pPr>
              <w:pStyle w:val="NormaleWeb"/>
              <w:rPr>
                <w:rFonts w:asciiTheme="majorHAnsi" w:hAnsiTheme="majorHAnsi" w:cstheme="majorHAnsi"/>
                <w:b w:val="0"/>
                <w:bCs w:val="0"/>
                <w:kern w:val="0"/>
                <w:sz w:val="22"/>
                <w:szCs w:val="22"/>
                <w14:ligatures w14:val="none"/>
              </w:rPr>
            </w:pPr>
            <w:r w:rsidRPr="005F18AC">
              <w:rPr>
                <w:rFonts w:asciiTheme="majorHAnsi" w:hAnsiTheme="majorHAnsi" w:cstheme="majorHAnsi"/>
                <w:b w:val="0"/>
                <w:bCs w:val="0"/>
                <w:kern w:val="0"/>
                <w:sz w:val="22"/>
                <w:szCs w:val="22"/>
                <w14:ligatures w14:val="none"/>
              </w:rPr>
              <w:t>7. Diritto di obiezione</w:t>
            </w:r>
          </w:p>
        </w:tc>
        <w:tc>
          <w:tcPr>
            <w:tcW w:w="6514" w:type="dxa"/>
          </w:tcPr>
          <w:p w14:paraId="17367F9A" w14:textId="77777777" w:rsidR="005F18AC" w:rsidRPr="005F18AC" w:rsidRDefault="005F18AC" w:rsidP="005F18AC">
            <w:pPr>
              <w:pStyle w:val="Normale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0"/>
                <w:sz w:val="22"/>
                <w:szCs w:val="22"/>
                <w14:ligatures w14:val="none"/>
              </w:rPr>
            </w:pPr>
            <w:r w:rsidRPr="005F18AC">
              <w:rPr>
                <w:rFonts w:asciiTheme="majorHAnsi" w:hAnsiTheme="majorHAnsi" w:cstheme="majorHAnsi"/>
                <w:kern w:val="0"/>
                <w:sz w:val="22"/>
                <w:szCs w:val="22"/>
                <w14:ligatures w14:val="none"/>
              </w:rPr>
              <w:t>L'Utente ha il diritto di opporsi ad alcuni tipi di trattamento, in determinate circostanze, ad esempio quando ci basiamo sui nostri interessi legittimi.</w:t>
            </w:r>
          </w:p>
        </w:tc>
      </w:tr>
    </w:tbl>
    <w:p w14:paraId="208DFBAB"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Qualora i vostri dati personali siano trattati sulla base del vostro consenso, avete il diritto di revocarlo in qualsiasi momento.</w:t>
      </w:r>
    </w:p>
    <w:p w14:paraId="01FC9EC6"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L'Utente ha inoltre il diritto di presentare un reclamo a un'autorità di protezione dei dati in merito alla raccolta e all'utilizzo dei dati personali da parte nostra.</w:t>
      </w:r>
    </w:p>
    <w:p w14:paraId="37CDCF0B" w14:textId="1E114D71"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 xml:space="preserve"> </w:t>
      </w:r>
      <w:r w:rsidRPr="005F18AC">
        <w:rPr>
          <w:rFonts w:asciiTheme="majorHAnsi" w:hAnsiTheme="majorHAnsi" w:cstheme="majorHAnsi"/>
          <w:b/>
          <w:bCs/>
          <w:sz w:val="22"/>
          <w:szCs w:val="22"/>
        </w:rPr>
        <w:t>Protezione dei dati personali</w:t>
      </w:r>
    </w:p>
    <w:p w14:paraId="6D8CB202" w14:textId="77777777"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Medov ha stipulato un contratto con un fornitore esterno per proteggere la riservatezza e la sicurezza dei vostri dati personali. Utilizziamo misure tecniche e organizzative adeguate a proteggere i dati personali che raccogliamo ed elaboriamo su di voi. Le misure utilizzate sono progettate per fornire un livello di sicurezza adeguato alle categorie di dati personali trattati.</w:t>
      </w:r>
    </w:p>
    <w:p w14:paraId="17F8682D" w14:textId="77777777" w:rsidR="005F18AC" w:rsidRPr="005F18AC" w:rsidRDefault="005F18AC" w:rsidP="005F18AC">
      <w:pPr>
        <w:pStyle w:val="NormaleWeb"/>
        <w:rPr>
          <w:rFonts w:asciiTheme="majorHAnsi" w:hAnsiTheme="majorHAnsi" w:cstheme="majorHAnsi"/>
          <w:b/>
          <w:bCs/>
          <w:sz w:val="22"/>
          <w:szCs w:val="22"/>
        </w:rPr>
      </w:pPr>
      <w:r w:rsidRPr="005F18AC">
        <w:rPr>
          <w:rFonts w:asciiTheme="majorHAnsi" w:hAnsiTheme="majorHAnsi" w:cstheme="majorHAnsi"/>
          <w:b/>
          <w:bCs/>
          <w:sz w:val="22"/>
          <w:szCs w:val="22"/>
        </w:rPr>
        <w:t>Come contattarci?</w:t>
      </w:r>
    </w:p>
    <w:p w14:paraId="2FC1576C" w14:textId="2F1EAEF8" w:rsidR="005F18AC" w:rsidRPr="005F18AC" w:rsidRDefault="005F18AC" w:rsidP="005F18AC">
      <w:pPr>
        <w:pStyle w:val="NormaleWeb"/>
        <w:rPr>
          <w:rFonts w:asciiTheme="majorHAnsi" w:hAnsiTheme="majorHAnsi" w:cstheme="majorHAnsi"/>
          <w:sz w:val="22"/>
          <w:szCs w:val="22"/>
        </w:rPr>
      </w:pPr>
      <w:r w:rsidRPr="005F18AC">
        <w:rPr>
          <w:rFonts w:asciiTheme="majorHAnsi" w:hAnsiTheme="majorHAnsi" w:cstheme="majorHAnsi"/>
          <w:sz w:val="22"/>
          <w:szCs w:val="22"/>
        </w:rPr>
        <w:t xml:space="preserve">In caso di domande sulla protezione dei dati personali o se si desidera esercitare i propri diritti legali, si prega di inviare la propria richiesta o di contattare Medov inviando un'e-mail a: </w:t>
      </w:r>
      <w:hyperlink r:id="rId11" w:history="1">
        <w:r w:rsidRPr="005F18AC">
          <w:rPr>
            <w:rFonts w:asciiTheme="majorHAnsi" w:hAnsiTheme="majorHAnsi" w:cstheme="majorHAnsi"/>
          </w:rPr>
          <w:t>privacy@ilinvestimenti.com</w:t>
        </w:r>
      </w:hyperlink>
      <w:r w:rsidRPr="005F18AC">
        <w:rPr>
          <w:rFonts w:asciiTheme="majorHAnsi" w:hAnsiTheme="majorHAnsi" w:cstheme="majorHAnsi"/>
          <w:sz w:val="22"/>
          <w:szCs w:val="22"/>
        </w:rPr>
        <w:t xml:space="preserve">. </w:t>
      </w:r>
    </w:p>
    <w:p w14:paraId="2743923E" w14:textId="77777777" w:rsidR="005F18AC" w:rsidRDefault="005F18AC" w:rsidP="005F18AC">
      <w:pPr>
        <w:spacing w:line="240" w:lineRule="auto"/>
        <w:rPr>
          <w:rFonts w:ascii="Calibri" w:hAnsi="Calibri" w:cs="Calibri"/>
          <w:szCs w:val="22"/>
        </w:rPr>
      </w:pPr>
    </w:p>
    <w:p w14:paraId="664E1D5A" w14:textId="77777777" w:rsidR="005F18AC" w:rsidRPr="00EA0478" w:rsidRDefault="005F18AC" w:rsidP="005F18AC">
      <w:pPr>
        <w:spacing w:line="240" w:lineRule="auto"/>
        <w:rPr>
          <w:rFonts w:ascii="Calibri" w:hAnsi="Calibri" w:cs="Calibri"/>
          <w:szCs w:val="22"/>
        </w:rPr>
      </w:pPr>
    </w:p>
    <w:p w14:paraId="5DC8F4D0" w14:textId="77777777" w:rsidR="005F18AC" w:rsidRPr="001B3993" w:rsidRDefault="005F18AC" w:rsidP="005F18AC">
      <w:pPr>
        <w:spacing w:line="240" w:lineRule="auto"/>
        <w:rPr>
          <w:rFonts w:ascii="Calibri" w:hAnsi="Calibri" w:cs="Calibri"/>
          <w:szCs w:val="22"/>
        </w:rPr>
      </w:pPr>
    </w:p>
    <w:p w14:paraId="75B790A6" w14:textId="77777777" w:rsidR="005F18AC" w:rsidRPr="0060039F" w:rsidRDefault="005F18AC" w:rsidP="0060039F">
      <w:pPr>
        <w:pStyle w:val="NormaleWeb"/>
        <w:rPr>
          <w:rFonts w:asciiTheme="majorHAnsi" w:hAnsiTheme="majorHAnsi" w:cstheme="majorHAnsi"/>
          <w:sz w:val="22"/>
          <w:szCs w:val="22"/>
        </w:rPr>
      </w:pPr>
    </w:p>
    <w:p w14:paraId="7F1668EE" w14:textId="77777777" w:rsidR="00666C8E" w:rsidRPr="0060039F" w:rsidRDefault="00666C8E" w:rsidP="0003219E">
      <w:pPr>
        <w:pStyle w:val="NormaleWeb"/>
        <w:rPr>
          <w:rFonts w:asciiTheme="majorHAnsi" w:hAnsiTheme="majorHAnsi" w:cstheme="majorHAnsi"/>
          <w:sz w:val="22"/>
          <w:szCs w:val="22"/>
        </w:rPr>
      </w:pPr>
    </w:p>
    <w:p w14:paraId="743CEA26" w14:textId="62E4215D" w:rsidR="0032554F" w:rsidRPr="001D68E2" w:rsidRDefault="0032554F" w:rsidP="001D68E2">
      <w:pPr>
        <w:pStyle w:val="NormaleWeb"/>
        <w:rPr>
          <w:rFonts w:asciiTheme="majorHAnsi" w:hAnsiTheme="majorHAnsi" w:cstheme="majorHAnsi"/>
          <w:sz w:val="22"/>
          <w:szCs w:val="22"/>
        </w:rPr>
      </w:pPr>
    </w:p>
    <w:sectPr w:rsidR="0032554F" w:rsidRPr="001D68E2" w:rsidSect="002E5A3E">
      <w:headerReference w:type="default" r:id="rId12"/>
      <w:footerReference w:type="default" r:id="rId13"/>
      <w:headerReference w:type="first" r:id="rId14"/>
      <w:footerReference w:type="first" r:id="rId15"/>
      <w:type w:val="continuous"/>
      <w:pgSz w:w="11900" w:h="16840"/>
      <w:pgMar w:top="2540" w:right="1134" w:bottom="2295" w:left="113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96894" w14:textId="77777777" w:rsidR="00CD194B" w:rsidRDefault="00CD194B" w:rsidP="00F24B87">
      <w:r>
        <w:separator/>
      </w:r>
    </w:p>
  </w:endnote>
  <w:endnote w:type="continuationSeparator" w:id="0">
    <w:p w14:paraId="0E8AE900" w14:textId="77777777" w:rsidR="00CD194B" w:rsidRDefault="00CD194B" w:rsidP="00F24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Segoe UI Historic"/>
    <w:charset w:val="4D"/>
    <w:family w:val="auto"/>
    <w:pitch w:val="variable"/>
    <w:sig w:usb0="A00002FF" w:usb1="7800205A" w:usb2="14600000" w:usb3="00000000" w:csb0="00000193"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FuturaBT-Heavy">
    <w:altName w:val="Century Gothic"/>
    <w:panose1 w:val="00000000000000000000"/>
    <w:charset w:val="4D"/>
    <w:family w:val="auto"/>
    <w:notTrueType/>
    <w:pitch w:val="default"/>
    <w:sig w:usb0="00000003" w:usb1="00000000" w:usb2="00000000" w:usb3="00000000" w:csb0="00000001" w:csb1="00000000"/>
  </w:font>
  <w:font w:name="FuturaBT-Book">
    <w:altName w:val="Century Goth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91DB" w14:textId="77777777" w:rsidR="00236C0E" w:rsidRDefault="00B31B41" w:rsidP="00F24B87">
    <w:pPr>
      <w:pStyle w:val="Pidi"/>
    </w:pPr>
    <w:r>
      <mc:AlternateContent>
        <mc:Choice Requires="wps">
          <w:drawing>
            <wp:anchor distT="0" distB="0" distL="114300" distR="114300" simplePos="0" relativeHeight="251659776" behindDoc="0" locked="0" layoutInCell="1" allowOverlap="1" wp14:anchorId="6F2AF9BD" wp14:editId="5EBBBC66">
              <wp:simplePos x="0" y="0"/>
              <wp:positionH relativeFrom="page">
                <wp:posOffset>6903720</wp:posOffset>
              </wp:positionH>
              <wp:positionV relativeFrom="page">
                <wp:posOffset>10381615</wp:posOffset>
              </wp:positionV>
              <wp:extent cx="195580" cy="110490"/>
              <wp:effectExtent l="0" t="0" r="7620" b="16510"/>
              <wp:wrapTight wrapText="bothSides">
                <wp:wrapPolygon edited="0">
                  <wp:start x="0" y="0"/>
                  <wp:lineTo x="0" y="19862"/>
                  <wp:lineTo x="19636" y="19862"/>
                  <wp:lineTo x="19636"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10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189A63" w14:textId="77777777" w:rsidR="00236C0E" w:rsidRPr="009C5F45" w:rsidRDefault="00B31B41" w:rsidP="009C5F45">
                          <w:pPr>
                            <w:pStyle w:val="Intest"/>
                            <w:jc w:val="center"/>
                            <w:rPr>
                              <w:sz w:val="14"/>
                            </w:rPr>
                          </w:pPr>
                          <w:r>
                            <w:fldChar w:fldCharType="begin"/>
                          </w:r>
                          <w:r>
                            <w:instrText>PAGE  \* MERGEFORMAT</w:instrText>
                          </w:r>
                          <w:r>
                            <w:fldChar w:fldCharType="separate"/>
                          </w:r>
                          <w:r w:rsidR="003006AC" w:rsidRPr="003006AC">
                            <w:rPr>
                              <w:sz w:val="14"/>
                            </w:rPr>
                            <w:t>2</w:t>
                          </w:r>
                          <w:r>
                            <w:rPr>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AF9BD" id="_x0000_t202" coordsize="21600,21600" o:spt="202" path="m,l,21600r21600,l21600,xe">
              <v:stroke joinstyle="miter"/>
              <v:path gradientshapeok="t" o:connecttype="rect"/>
            </v:shapetype>
            <v:shape id="Text Box 1" o:spid="_x0000_s1026" type="#_x0000_t202" style="position:absolute;left:0;text-align:left;margin-left:543.6pt;margin-top:817.45pt;width:15.4pt;height:8.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H1AEAAJADAAAOAAAAZHJzL2Uyb0RvYy54bWysU8tu3DAMvBfoPwi6d20HTZEY6w3SBCkK&#10;pA8g7QfIsmQbtUWV1K69/fpS8nrTx63oRaBFajgzpLc38ziIg0HqwVWy2ORSGKeh6V1bya9fHl5d&#10;SUFBuUYN4Ewlj4bkze7li+3kS3MBHQyNQcEgjsrJV7ILwZdZRrozo6INeOM4aQFHFfgT26xBNTH6&#10;OGQXef4mmwAbj6ANEd/eL0m5S/jWGh0+WUsmiKGSzC2kE9NZxzPbbVXZovJdr0801D+wGFXvuOkZ&#10;6l4FJfbY/wU19hqBwIaNhjEDa3ttkgZWU+R/qHnqlDdJC5tD/mwT/T9Y/fHw5D+jCPNbmHmASQT5&#10;R9DfSDi465RrzS0iTJ1RDTcuomXZ5Kk8PY1WU0kRpJ4+QMNDVvsACWi2OEZXWKdgdB7A8Wy6mYPQ&#10;seX15eUVZzSniiJ/fZ2GkqlyfeyRwjsDo4hBJZFnmsDV4ZFCJKPKtST2cvDQD0Oa6+B+u+DCeJPI&#10;R74L8zDXM1dHETU0R5aBsKwJrzUHHeAPKSZekUrS971CI8Xw3rEVcZ/WANegXgPlND+tZJBiCe/C&#10;snd7j33bMfJitoNbtsv2ScozixNPHntSeFrRuFe/fqeq5x9p9xMAAP//AwBQSwMEFAAGAAgAAAAh&#10;APQZc8TiAAAADwEAAA8AAABkcnMvZG93bnJldi54bWxMj0FPhDAQhe8m/odmTLy5Lawii5TNxujJ&#10;xMjiwWOhXSBLp0i7u/jvHU56mzfz8uZ7+Xa2AzubyfcOJUQrAcxg43SPrYTP6vUuBeaDQq0Gh0bC&#10;j/GwLa6vcpVpd8HSnPehZRSCPlMSuhDGjHPfdMYqv3KjQbod3GRVIDm1XE/qQuF24LEQCbeqR/rQ&#10;qdE8d6Y57k9Wwu4Ly5f++73+KA9lX1UbgW/JUcrbm3n3BCyYOfyZYcEndCiIqXYn1J4NpEX6GJOX&#10;pmR9vwG2eKIopYL1snuI18CLnP/vUfwCAAD//wMAUEsBAi0AFAAGAAgAAAAhALaDOJL+AAAA4QEA&#10;ABMAAAAAAAAAAAAAAAAAAAAAAFtDb250ZW50X1R5cGVzXS54bWxQSwECLQAUAAYACAAAACEAOP0h&#10;/9YAAACUAQAACwAAAAAAAAAAAAAAAAAvAQAAX3JlbHMvLnJlbHNQSwECLQAUAAYACAAAACEAeP7J&#10;B9QBAACQAwAADgAAAAAAAAAAAAAAAAAuAgAAZHJzL2Uyb0RvYy54bWxQSwECLQAUAAYACAAAACEA&#10;9BlzxOIAAAAPAQAADwAAAAAAAAAAAAAAAAAuBAAAZHJzL2Rvd25yZXYueG1sUEsFBgAAAAAEAAQA&#10;8wAAAD0FAAAAAA==&#10;" filled="f" stroked="f">
              <v:textbox inset="0,0,0,0">
                <w:txbxContent>
                  <w:p w14:paraId="62189A63" w14:textId="77777777" w:rsidR="00236C0E" w:rsidRPr="009C5F45" w:rsidRDefault="00B31B41" w:rsidP="009C5F45">
                    <w:pPr>
                      <w:pStyle w:val="Intest"/>
                      <w:jc w:val="center"/>
                      <w:rPr>
                        <w:sz w:val="14"/>
                      </w:rPr>
                    </w:pPr>
                    <w:r>
                      <w:fldChar w:fldCharType="begin"/>
                    </w:r>
                    <w:r>
                      <w:instrText>PAGE  \* MERGEFORMAT</w:instrText>
                    </w:r>
                    <w:r>
                      <w:fldChar w:fldCharType="separate"/>
                    </w:r>
                    <w:r w:rsidR="003006AC" w:rsidRPr="003006AC">
                      <w:rPr>
                        <w:sz w:val="14"/>
                      </w:rPr>
                      <w:t>2</w:t>
                    </w:r>
                    <w:r>
                      <w:rPr>
                        <w:sz w:val="14"/>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9ACC" w14:textId="77777777" w:rsidR="00741668" w:rsidRPr="00E0603E" w:rsidRDefault="00741668" w:rsidP="00741668">
    <w:pPr>
      <w:pStyle w:val="Paragrafobase"/>
      <w:jc w:val="center"/>
      <w:rPr>
        <w:rFonts w:ascii="FuturaBT-Heavy" w:hAnsi="FuturaBT-Heavy" w:cs="FuturaBT-Heavy"/>
        <w:b/>
        <w:bCs/>
        <w:color w:val="707173"/>
        <w:sz w:val="16"/>
        <w:szCs w:val="16"/>
      </w:rPr>
    </w:pPr>
    <w:r w:rsidRPr="00E0603E">
      <w:rPr>
        <w:rFonts w:ascii="FuturaBT-Heavy" w:hAnsi="FuturaBT-Heavy" w:cs="FuturaBT-Heavy"/>
        <w:b/>
        <w:bCs/>
        <w:color w:val="707173"/>
        <w:sz w:val="16"/>
        <w:szCs w:val="16"/>
      </w:rPr>
      <w:t>Medov s.r.l.</w:t>
    </w:r>
  </w:p>
  <w:p w14:paraId="2CD652C9" w14:textId="77777777" w:rsidR="00741668" w:rsidRPr="00E0603E" w:rsidRDefault="00741668" w:rsidP="00741668">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Via </w:t>
    </w:r>
    <w:proofErr w:type="spellStart"/>
    <w:r w:rsidRPr="00E0603E">
      <w:rPr>
        <w:rFonts w:ascii="FuturaBT-Book" w:hAnsi="FuturaBT-Book" w:cs="FuturaBT-Book"/>
        <w:color w:val="707173"/>
        <w:sz w:val="16"/>
        <w:szCs w:val="16"/>
      </w:rPr>
      <w:t>Scarsellini</w:t>
    </w:r>
    <w:proofErr w:type="spellEnd"/>
    <w:r w:rsidRPr="00E0603E">
      <w:rPr>
        <w:rFonts w:ascii="FuturaBT-Book" w:hAnsi="FuturaBT-Book" w:cs="FuturaBT-Book"/>
        <w:color w:val="707173"/>
        <w:sz w:val="16"/>
        <w:szCs w:val="16"/>
      </w:rPr>
      <w:t>, 119 - 16149, Genova • Tel.: +39 010.5490.1 • E-mail</w:t>
    </w:r>
    <w:r w:rsidRPr="00385DF4">
      <w:rPr>
        <w:rFonts w:ascii="FuturaBT-Book" w:hAnsi="FuturaBT-Book" w:cs="FuturaBT-Book"/>
        <w:color w:val="707173"/>
        <w:sz w:val="16"/>
        <w:szCs w:val="16"/>
      </w:rPr>
      <w:t xml:space="preserve">: </w:t>
    </w:r>
    <w:hyperlink r:id="rId1" w:history="1">
      <w:r w:rsidRPr="00385DF4">
        <w:rPr>
          <w:rFonts w:ascii="FuturaBT-Book" w:hAnsi="FuturaBT-Book" w:cs="FuturaBT-Book"/>
          <w:color w:val="707173"/>
          <w:sz w:val="16"/>
          <w:szCs w:val="16"/>
          <w:u w:val="single"/>
        </w:rPr>
        <w:t>operations@medov.it</w:t>
      </w:r>
    </w:hyperlink>
    <w:r w:rsidRPr="00385DF4">
      <w:rPr>
        <w:rFonts w:ascii="FuturaBT-Book" w:hAnsi="FuturaBT-Book" w:cs="FuturaBT-Book"/>
        <w:color w:val="707173"/>
        <w:sz w:val="16"/>
        <w:szCs w:val="16"/>
      </w:rPr>
      <w:t xml:space="preserve"> • </w:t>
    </w:r>
    <w:hyperlink r:id="rId2" w:history="1">
      <w:r w:rsidRPr="00385DF4">
        <w:rPr>
          <w:rFonts w:ascii="FuturaBT-Book" w:hAnsi="FuturaBT-Book" w:cs="FuturaBT-Book"/>
          <w:color w:val="707173"/>
          <w:sz w:val="16"/>
          <w:szCs w:val="16"/>
          <w:u w:val="single"/>
        </w:rPr>
        <w:t>www.medov.it</w:t>
      </w:r>
    </w:hyperlink>
  </w:p>
  <w:p w14:paraId="3532B838" w14:textId="77777777" w:rsidR="00741668" w:rsidRPr="00385DF4" w:rsidRDefault="00741668" w:rsidP="00385DF4">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Sede legale: Largo San Giuseppe 3/32 – 16121, Genova • </w:t>
    </w:r>
    <w:proofErr w:type="spellStart"/>
    <w:r w:rsidRPr="00E0603E">
      <w:rPr>
        <w:rFonts w:ascii="FuturaBT-Book" w:hAnsi="FuturaBT-Book" w:cs="FuturaBT-Book"/>
        <w:color w:val="707173"/>
        <w:sz w:val="16"/>
        <w:szCs w:val="16"/>
      </w:rPr>
      <w:t>Legalmail</w:t>
    </w:r>
    <w:proofErr w:type="spellEnd"/>
    <w:r w:rsidRPr="00E0603E">
      <w:rPr>
        <w:rFonts w:ascii="FuturaBT-Book" w:hAnsi="FuturaBT-Book" w:cs="FuturaBT-Book"/>
        <w:color w:val="707173"/>
        <w:sz w:val="16"/>
        <w:szCs w:val="16"/>
      </w:rPr>
      <w:t xml:space="preserve">: </w:t>
    </w:r>
    <w:hyperlink r:id="rId3" w:history="1">
      <w:r w:rsidRPr="00385DF4">
        <w:rPr>
          <w:rFonts w:ascii="FuturaBT-Book" w:hAnsi="FuturaBT-Book" w:cs="FuturaBT-Book"/>
          <w:color w:val="707173"/>
          <w:sz w:val="16"/>
          <w:szCs w:val="16"/>
        </w:rPr>
        <w:t>medov@pec.it</w:t>
      </w:r>
    </w:hyperlink>
  </w:p>
  <w:p w14:paraId="75D215F4" w14:textId="5AAF5EA3" w:rsidR="00741668" w:rsidRPr="00E0603E" w:rsidRDefault="00741668" w:rsidP="00741668">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 xml:space="preserve">Capitale Sociale: </w:t>
    </w:r>
    <w:r w:rsidR="00E0603E" w:rsidRPr="002F3FD2">
      <w:rPr>
        <w:rFonts w:ascii="FuturaBT-Book" w:hAnsi="FuturaBT-Book" w:cs="FuturaBT-Book"/>
        <w:color w:val="707173"/>
        <w:sz w:val="16"/>
        <w:szCs w:val="16"/>
      </w:rPr>
      <w:t>€</w:t>
    </w:r>
    <w:r w:rsidRPr="00E0603E">
      <w:rPr>
        <w:rFonts w:ascii="FuturaBT-Book" w:hAnsi="FuturaBT-Book" w:cs="FuturaBT-Book"/>
        <w:color w:val="707173"/>
        <w:sz w:val="16"/>
        <w:szCs w:val="16"/>
      </w:rPr>
      <w:t xml:space="preserve">300.000,00 </w:t>
    </w:r>
    <w:proofErr w:type="spellStart"/>
    <w:r w:rsidRPr="00E0603E">
      <w:rPr>
        <w:rFonts w:ascii="FuturaBT-Book" w:hAnsi="FuturaBT-Book" w:cs="FuturaBT-Book"/>
        <w:color w:val="707173"/>
        <w:sz w:val="16"/>
        <w:szCs w:val="16"/>
      </w:rPr>
      <w:t>i.v</w:t>
    </w:r>
    <w:proofErr w:type="spellEnd"/>
    <w:r w:rsidRPr="00E0603E">
      <w:rPr>
        <w:rFonts w:ascii="FuturaBT-Book" w:hAnsi="FuturaBT-Book" w:cs="FuturaBT-Book"/>
        <w:color w:val="707173"/>
        <w:sz w:val="16"/>
        <w:szCs w:val="16"/>
      </w:rPr>
      <w:t>. • C.F./Registro Imprese di Genova 01481480992 • P. IVA IT 01481480992 - R.E.A. GE</w:t>
    </w:r>
    <w:r w:rsidR="00287EB5">
      <w:rPr>
        <w:rFonts w:ascii="FuturaBT-Book" w:hAnsi="FuturaBT-Book" w:cs="FuturaBT-Book"/>
        <w:color w:val="707173"/>
        <w:sz w:val="16"/>
        <w:szCs w:val="16"/>
      </w:rPr>
      <w:t>-</w:t>
    </w:r>
    <w:r w:rsidRPr="00E0603E">
      <w:rPr>
        <w:rFonts w:ascii="FuturaBT-Book" w:hAnsi="FuturaBT-Book" w:cs="FuturaBT-Book"/>
        <w:color w:val="707173"/>
        <w:sz w:val="16"/>
        <w:szCs w:val="16"/>
      </w:rPr>
      <w:t>412511</w:t>
    </w:r>
  </w:p>
  <w:p w14:paraId="17A13B23" w14:textId="77777777" w:rsidR="00236C0E" w:rsidRPr="002F3FD2" w:rsidRDefault="00741668" w:rsidP="002F3FD2">
    <w:pPr>
      <w:pStyle w:val="Paragrafobase"/>
      <w:jc w:val="center"/>
      <w:rPr>
        <w:rFonts w:ascii="FuturaBT-Book" w:hAnsi="FuturaBT-Book" w:cs="FuturaBT-Book"/>
        <w:color w:val="707173"/>
        <w:sz w:val="16"/>
        <w:szCs w:val="16"/>
      </w:rPr>
    </w:pPr>
    <w:r w:rsidRPr="00E0603E">
      <w:rPr>
        <w:rFonts w:ascii="FuturaBT-Book" w:hAnsi="FuturaBT-Book" w:cs="FuturaBT-Book"/>
        <w:color w:val="707173"/>
        <w:sz w:val="16"/>
        <w:szCs w:val="16"/>
      </w:rPr>
      <w:t>Società soggetta ad attività di direzione e coordinamento esercitata da I.L. INVESTIMENTI S.r.l.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0F1DD" w14:textId="77777777" w:rsidR="00CD194B" w:rsidRDefault="00CD194B" w:rsidP="00F24B87">
      <w:bookmarkStart w:id="0" w:name="_Hlk212201857"/>
      <w:bookmarkEnd w:id="0"/>
      <w:r>
        <w:separator/>
      </w:r>
    </w:p>
  </w:footnote>
  <w:footnote w:type="continuationSeparator" w:id="0">
    <w:p w14:paraId="0CC05F2F" w14:textId="77777777" w:rsidR="00CD194B" w:rsidRDefault="00CD194B" w:rsidP="00F24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3CA96" w14:textId="57DB251C" w:rsidR="00236C0E" w:rsidRDefault="00666C8E" w:rsidP="0003219E">
    <w:pPr>
      <w:pStyle w:val="Intest"/>
      <w:jc w:val="center"/>
    </w:pPr>
    <w:r>
      <w:t xml:space="preserve">                                                       </w:t>
    </w:r>
    <w:r>
      <w:drawing>
        <wp:inline distT="0" distB="0" distL="0" distR="0" wp14:anchorId="553CD24B" wp14:editId="3BF77B35">
          <wp:extent cx="1703649" cy="681990"/>
          <wp:effectExtent l="0" t="0" r="0" b="3810"/>
          <wp:docPr id="29284849" name="Immagine 9" descr="Immagine che contiene testo, Carattere, schermat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4849" name="Immagine 9" descr="Immagine che contiene testo, Carattere, schermata,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672" cy="689605"/>
                  </a:xfrm>
                  <a:prstGeom prst="rect">
                    <a:avLst/>
                  </a:prstGeom>
                  <a:noFill/>
                  <a:ln>
                    <a:noFill/>
                  </a:ln>
                </pic:spPr>
              </pic:pic>
            </a:graphicData>
          </a:graphic>
        </wp:inline>
      </w:drawing>
    </w:r>
    <w:r>
      <w:rPr>
        <w:lang w:val="fr-FR"/>
      </w:rPr>
      <w:drawing>
        <wp:inline distT="0" distB="0" distL="0" distR="0" wp14:anchorId="0A5B3FC5" wp14:editId="69AA0E67">
          <wp:extent cx="733425" cy="733425"/>
          <wp:effectExtent l="0" t="0" r="9525" b="9525"/>
          <wp:docPr id="236349612" name="Immagine 10" descr="Immagine che contiene testo, Carattere, Elementi grafici,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63753" name="Immagine 10" descr="Immagine che contiene testo, Carattere, Elementi grafici, schermat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0084338E">
      <w:t xml:space="preserve">                                                                               </w:t>
    </w:r>
    <w:r w:rsidR="002E5A3E">
      <w:drawing>
        <wp:anchor distT="0" distB="0" distL="114300" distR="114300" simplePos="0" relativeHeight="251661824" behindDoc="1" locked="0" layoutInCell="1" allowOverlap="1" wp14:anchorId="778937D9" wp14:editId="56B698D3">
          <wp:simplePos x="0" y="0"/>
          <wp:positionH relativeFrom="column">
            <wp:posOffset>-737837</wp:posOffset>
          </wp:positionH>
          <wp:positionV relativeFrom="paragraph">
            <wp:posOffset>-431800</wp:posOffset>
          </wp:positionV>
          <wp:extent cx="7617870" cy="1646443"/>
          <wp:effectExtent l="0" t="0" r="2540" b="5080"/>
          <wp:wrapNone/>
          <wp:docPr id="970391012" name="Immagine 97039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91012" name="Immagine 970391012"/>
                  <pic:cNvPicPr>
                    <a:picLocks noChangeAspect="1" noChangeArrowheads="1"/>
                  </pic:cNvPicPr>
                </pic:nvPicPr>
                <pic:blipFill>
                  <a:blip r:embed="rId3"/>
                  <a:stretch>
                    <a:fillRect/>
                  </a:stretch>
                </pic:blipFill>
                <pic:spPr bwMode="auto">
                  <a:xfrm>
                    <a:off x="0" y="0"/>
                    <a:ext cx="7617870" cy="16464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DB1F2" w14:textId="44D402B6" w:rsidR="00666C8E" w:rsidRDefault="0084338E" w:rsidP="00666C8E">
    <w:pPr>
      <w:pStyle w:val="NormaleWeb"/>
    </w:pPr>
    <w:bookmarkStart w:id="1" w:name="_MacBuGuideStaticData_5080H"/>
    <w:r>
      <w:tab/>
      <w:t xml:space="preserve">                                     </w:t>
    </w:r>
    <w:r w:rsidR="00666C8E">
      <w:t xml:space="preserve">    </w:t>
    </w:r>
    <w:r>
      <w:t xml:space="preserve">             </w:t>
    </w:r>
    <w:r w:rsidR="00666C8E">
      <w:t xml:space="preserve">        </w:t>
    </w:r>
    <w:r>
      <w:t xml:space="preserve"> </w:t>
    </w:r>
    <w:r w:rsidR="00666C8E">
      <w:t xml:space="preserve"> </w:t>
    </w:r>
    <w:r w:rsidR="00666C8E">
      <w:rPr>
        <w:noProof/>
      </w:rPr>
      <w:drawing>
        <wp:inline distT="0" distB="0" distL="0" distR="0" wp14:anchorId="1AE0CF3C" wp14:editId="3D7B035E">
          <wp:extent cx="1703649" cy="681990"/>
          <wp:effectExtent l="0" t="0" r="0" b="3810"/>
          <wp:docPr id="1889680358" name="Immagine 9" descr="Immagine che contiene testo, Carattere, schermat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80358" name="Immagine 9" descr="Immagine che contiene testo, Carattere, schermata,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672" cy="689605"/>
                  </a:xfrm>
                  <a:prstGeom prst="rect">
                    <a:avLst/>
                  </a:prstGeom>
                  <a:noFill/>
                  <a:ln>
                    <a:noFill/>
                  </a:ln>
                </pic:spPr>
              </pic:pic>
            </a:graphicData>
          </a:graphic>
        </wp:inline>
      </w:drawing>
    </w:r>
    <w:r w:rsidR="00666C8E">
      <w:rPr>
        <w:noProof/>
        <w:lang w:val="fr-FR"/>
      </w:rPr>
      <w:drawing>
        <wp:inline distT="0" distB="0" distL="0" distR="0" wp14:anchorId="7FB68B94" wp14:editId="19159FC9">
          <wp:extent cx="733425" cy="733425"/>
          <wp:effectExtent l="0" t="0" r="9525" b="9525"/>
          <wp:docPr id="1519825492" name="Immagine 10" descr="Immagine che contiene testo, Carattere, Elementi grafici,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63753" name="Immagine 10" descr="Immagine che contiene testo, Carattere, Elementi grafici, schermata&#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7C8C9372" w14:textId="6F961F39" w:rsidR="00236C0E" w:rsidRDefault="00666C8E" w:rsidP="00666C8E">
    <w:pPr>
      <w:pStyle w:val="Intest"/>
      <w:tabs>
        <w:tab w:val="clear" w:pos="4819"/>
        <w:tab w:val="clear" w:pos="9638"/>
        <w:tab w:val="center" w:pos="4816"/>
        <w:tab w:val="center" w:pos="4962"/>
        <w:tab w:val="left" w:pos="8250"/>
      </w:tabs>
      <w:jc w:val="left"/>
    </w:pPr>
    <w:r>
      <w:t xml:space="preserve">     </w:t>
    </w:r>
    <w:r w:rsidR="0084338E">
      <w:t xml:space="preserve">                                          </w:t>
    </w:r>
    <w:r w:rsidR="00042552">
      <w:drawing>
        <wp:anchor distT="0" distB="0" distL="114300" distR="114300" simplePos="0" relativeHeight="251658751" behindDoc="1" locked="1" layoutInCell="1" allowOverlap="1" wp14:anchorId="63376EE4" wp14:editId="6515F7DA">
          <wp:simplePos x="0" y="0"/>
          <wp:positionH relativeFrom="column">
            <wp:posOffset>-720090</wp:posOffset>
          </wp:positionH>
          <wp:positionV relativeFrom="page">
            <wp:posOffset>-11430</wp:posOffset>
          </wp:positionV>
          <wp:extent cx="7579360" cy="1638300"/>
          <wp:effectExtent l="0" t="0" r="2540" b="0"/>
          <wp:wrapNone/>
          <wp:docPr id="2135816023" name="Immagine 2135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3"/>
                  <a:stretch>
                    <a:fillRect/>
                  </a:stretch>
                </pic:blipFill>
                <pic:spPr>
                  <a:xfrm>
                    <a:off x="0" y="0"/>
                    <a:ext cx="7579360" cy="1638300"/>
                  </a:xfrm>
                  <a:prstGeom prst="rect">
                    <a:avLst/>
                  </a:prstGeom>
                </pic:spPr>
              </pic:pic>
            </a:graphicData>
          </a:graphic>
          <wp14:sizeRelH relativeFrom="margin">
            <wp14:pctWidth>0</wp14:pctWidth>
          </wp14:sizeRelH>
          <wp14:sizeRelV relativeFrom="margin">
            <wp14:pctHeight>0</wp14:pctHeight>
          </wp14:sizeRelV>
        </wp:anchor>
      </w:drawing>
    </w:r>
    <w:bookmarkEnd w:id="1"/>
    <w:r w:rsidR="0084338E">
      <w:t xml:space="preserve">     </w:t>
    </w:r>
    <w:r w:rsidR="0084338E">
      <w:tab/>
    </w:r>
    <w:r w:rsidR="0084338E">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2AE0"/>
    <w:multiLevelType w:val="hybridMultilevel"/>
    <w:tmpl w:val="3BC8BE54"/>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15:restartNumberingAfterBreak="0">
    <w:nsid w:val="02FE784C"/>
    <w:multiLevelType w:val="multilevel"/>
    <w:tmpl w:val="760066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7CD64E4"/>
    <w:multiLevelType w:val="multilevel"/>
    <w:tmpl w:val="B91A9C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241E6"/>
    <w:multiLevelType w:val="multilevel"/>
    <w:tmpl w:val="8A66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EE32A8"/>
    <w:multiLevelType w:val="multilevel"/>
    <w:tmpl w:val="2280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486F03"/>
    <w:multiLevelType w:val="multilevel"/>
    <w:tmpl w:val="4F2E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720965"/>
    <w:multiLevelType w:val="multilevel"/>
    <w:tmpl w:val="3FC6E4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333D0B"/>
    <w:multiLevelType w:val="multilevel"/>
    <w:tmpl w:val="274873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C255DB2"/>
    <w:multiLevelType w:val="multilevel"/>
    <w:tmpl w:val="68FE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057C88"/>
    <w:multiLevelType w:val="multilevel"/>
    <w:tmpl w:val="773EE1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D57A07"/>
    <w:multiLevelType w:val="multilevel"/>
    <w:tmpl w:val="7716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6E4393"/>
    <w:multiLevelType w:val="multilevel"/>
    <w:tmpl w:val="25B6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CD15AE"/>
    <w:multiLevelType w:val="multilevel"/>
    <w:tmpl w:val="C010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8F4C09"/>
    <w:multiLevelType w:val="multilevel"/>
    <w:tmpl w:val="598C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D572B2"/>
    <w:multiLevelType w:val="multilevel"/>
    <w:tmpl w:val="CA00E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560639"/>
    <w:multiLevelType w:val="multilevel"/>
    <w:tmpl w:val="F71E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5B260E"/>
    <w:multiLevelType w:val="multilevel"/>
    <w:tmpl w:val="5B0E85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684884"/>
    <w:multiLevelType w:val="multilevel"/>
    <w:tmpl w:val="44DC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5E2B5B"/>
    <w:multiLevelType w:val="multilevel"/>
    <w:tmpl w:val="1A06AA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256717"/>
    <w:multiLevelType w:val="multilevel"/>
    <w:tmpl w:val="4EAA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FE0DF9"/>
    <w:multiLevelType w:val="hybridMultilevel"/>
    <w:tmpl w:val="828C98F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A014255"/>
    <w:multiLevelType w:val="multilevel"/>
    <w:tmpl w:val="06D2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2C6A76"/>
    <w:multiLevelType w:val="multilevel"/>
    <w:tmpl w:val="185E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730BF8"/>
    <w:multiLevelType w:val="multilevel"/>
    <w:tmpl w:val="C6DC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65745D"/>
    <w:multiLevelType w:val="multilevel"/>
    <w:tmpl w:val="D3E0DA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1266C9F"/>
    <w:multiLevelType w:val="multilevel"/>
    <w:tmpl w:val="C5EA28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3011D6"/>
    <w:multiLevelType w:val="multilevel"/>
    <w:tmpl w:val="FBDA9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343737"/>
    <w:multiLevelType w:val="multilevel"/>
    <w:tmpl w:val="C93C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EE75B8"/>
    <w:multiLevelType w:val="hybridMultilevel"/>
    <w:tmpl w:val="EEFE1C4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974087E"/>
    <w:multiLevelType w:val="hybridMultilevel"/>
    <w:tmpl w:val="D76AA87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CD5283E"/>
    <w:multiLevelType w:val="multilevel"/>
    <w:tmpl w:val="097A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313C12"/>
    <w:multiLevelType w:val="multilevel"/>
    <w:tmpl w:val="6A98CF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D003DA"/>
    <w:multiLevelType w:val="multilevel"/>
    <w:tmpl w:val="CF428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15462E"/>
    <w:multiLevelType w:val="multilevel"/>
    <w:tmpl w:val="29D4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5D72AD"/>
    <w:multiLevelType w:val="multilevel"/>
    <w:tmpl w:val="60BEC6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110246191">
    <w:abstractNumId w:val="4"/>
  </w:num>
  <w:num w:numId="2" w16cid:durableId="1623069197">
    <w:abstractNumId w:val="19"/>
  </w:num>
  <w:num w:numId="3" w16cid:durableId="204022344">
    <w:abstractNumId w:val="12"/>
  </w:num>
  <w:num w:numId="4" w16cid:durableId="1092699377">
    <w:abstractNumId w:val="22"/>
  </w:num>
  <w:num w:numId="5" w16cid:durableId="752432426">
    <w:abstractNumId w:val="5"/>
  </w:num>
  <w:num w:numId="6" w16cid:durableId="1181815685">
    <w:abstractNumId w:val="30"/>
  </w:num>
  <w:num w:numId="7" w16cid:durableId="2122261134">
    <w:abstractNumId w:val="34"/>
  </w:num>
  <w:num w:numId="8" w16cid:durableId="824011182">
    <w:abstractNumId w:val="24"/>
  </w:num>
  <w:num w:numId="9" w16cid:durableId="1079595657">
    <w:abstractNumId w:val="1"/>
  </w:num>
  <w:num w:numId="10" w16cid:durableId="1552037044">
    <w:abstractNumId w:val="7"/>
  </w:num>
  <w:num w:numId="11" w16cid:durableId="1157652759">
    <w:abstractNumId w:val="13"/>
  </w:num>
  <w:num w:numId="12" w16cid:durableId="476652898">
    <w:abstractNumId w:val="3"/>
  </w:num>
  <w:num w:numId="13" w16cid:durableId="798843654">
    <w:abstractNumId w:val="21"/>
  </w:num>
  <w:num w:numId="14" w16cid:durableId="105275910">
    <w:abstractNumId w:val="8"/>
  </w:num>
  <w:num w:numId="15" w16cid:durableId="1799029432">
    <w:abstractNumId w:val="23"/>
  </w:num>
  <w:num w:numId="16" w16cid:durableId="1371764822">
    <w:abstractNumId w:val="33"/>
  </w:num>
  <w:num w:numId="17" w16cid:durableId="1418097294">
    <w:abstractNumId w:val="27"/>
  </w:num>
  <w:num w:numId="18" w16cid:durableId="1157527397">
    <w:abstractNumId w:val="32"/>
  </w:num>
  <w:num w:numId="19" w16cid:durableId="332412156">
    <w:abstractNumId w:val="14"/>
  </w:num>
  <w:num w:numId="20" w16cid:durableId="1848475449">
    <w:abstractNumId w:val="31"/>
  </w:num>
  <w:num w:numId="21" w16cid:durableId="986711678">
    <w:abstractNumId w:val="2"/>
  </w:num>
  <w:num w:numId="22" w16cid:durableId="475070488">
    <w:abstractNumId w:val="25"/>
  </w:num>
  <w:num w:numId="23" w16cid:durableId="1024594209">
    <w:abstractNumId w:val="26"/>
  </w:num>
  <w:num w:numId="24" w16cid:durableId="939070796">
    <w:abstractNumId w:val="16"/>
  </w:num>
  <w:num w:numId="25" w16cid:durableId="981273804">
    <w:abstractNumId w:val="18"/>
  </w:num>
  <w:num w:numId="26" w16cid:durableId="1681156433">
    <w:abstractNumId w:val="9"/>
  </w:num>
  <w:num w:numId="27" w16cid:durableId="2054382666">
    <w:abstractNumId w:val="6"/>
  </w:num>
  <w:num w:numId="28" w16cid:durableId="20210052">
    <w:abstractNumId w:val="11"/>
  </w:num>
  <w:num w:numId="29" w16cid:durableId="1436826454">
    <w:abstractNumId w:val="15"/>
  </w:num>
  <w:num w:numId="30" w16cid:durableId="421024678">
    <w:abstractNumId w:val="10"/>
  </w:num>
  <w:num w:numId="31" w16cid:durableId="1039204864">
    <w:abstractNumId w:val="17"/>
  </w:num>
  <w:num w:numId="32" w16cid:durableId="919293281">
    <w:abstractNumId w:val="29"/>
  </w:num>
  <w:num w:numId="33" w16cid:durableId="1528525010">
    <w:abstractNumId w:val="0"/>
  </w:num>
  <w:num w:numId="34" w16cid:durableId="997271429">
    <w:abstractNumId w:val="28"/>
  </w:num>
  <w:num w:numId="35" w16cid:durableId="7325840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1"/>
    <w:docVar w:name="ShowOutlines" w:val="1"/>
    <w:docVar w:name="ShowStaticGuides" w:val="1"/>
  </w:docVars>
  <w:rsids>
    <w:rsidRoot w:val="00E0603E"/>
    <w:rsid w:val="0001426F"/>
    <w:rsid w:val="0003219E"/>
    <w:rsid w:val="00042552"/>
    <w:rsid w:val="000A2A76"/>
    <w:rsid w:val="000B090F"/>
    <w:rsid w:val="000B0C77"/>
    <w:rsid w:val="000F66B6"/>
    <w:rsid w:val="00114391"/>
    <w:rsid w:val="001466B1"/>
    <w:rsid w:val="0014703F"/>
    <w:rsid w:val="00147252"/>
    <w:rsid w:val="001760DF"/>
    <w:rsid w:val="001868DD"/>
    <w:rsid w:val="001A2F15"/>
    <w:rsid w:val="001B0F78"/>
    <w:rsid w:val="001C2F2D"/>
    <w:rsid w:val="001D68E2"/>
    <w:rsid w:val="001E785E"/>
    <w:rsid w:val="00236C0E"/>
    <w:rsid w:val="002470B6"/>
    <w:rsid w:val="0026577C"/>
    <w:rsid w:val="00287EB5"/>
    <w:rsid w:val="0029151B"/>
    <w:rsid w:val="002E5A3E"/>
    <w:rsid w:val="002F3FD2"/>
    <w:rsid w:val="003006AC"/>
    <w:rsid w:val="0032554F"/>
    <w:rsid w:val="0034199C"/>
    <w:rsid w:val="0035709F"/>
    <w:rsid w:val="00367293"/>
    <w:rsid w:val="0037128E"/>
    <w:rsid w:val="00373C40"/>
    <w:rsid w:val="00385DF4"/>
    <w:rsid w:val="003A7420"/>
    <w:rsid w:val="003B7540"/>
    <w:rsid w:val="003E41B2"/>
    <w:rsid w:val="004275B0"/>
    <w:rsid w:val="004421B2"/>
    <w:rsid w:val="004520BE"/>
    <w:rsid w:val="004603F8"/>
    <w:rsid w:val="00465A16"/>
    <w:rsid w:val="00487B09"/>
    <w:rsid w:val="004C6AE3"/>
    <w:rsid w:val="0051269C"/>
    <w:rsid w:val="005274B5"/>
    <w:rsid w:val="00531DF1"/>
    <w:rsid w:val="00572F68"/>
    <w:rsid w:val="00575C96"/>
    <w:rsid w:val="00595017"/>
    <w:rsid w:val="005A3FDB"/>
    <w:rsid w:val="005A6F73"/>
    <w:rsid w:val="005F18AC"/>
    <w:rsid w:val="0060039F"/>
    <w:rsid w:val="00635D02"/>
    <w:rsid w:val="00640DF2"/>
    <w:rsid w:val="006422AE"/>
    <w:rsid w:val="00666C8E"/>
    <w:rsid w:val="0067159A"/>
    <w:rsid w:val="00676DB1"/>
    <w:rsid w:val="006B04C9"/>
    <w:rsid w:val="006C1484"/>
    <w:rsid w:val="00712AB3"/>
    <w:rsid w:val="00724239"/>
    <w:rsid w:val="00727F35"/>
    <w:rsid w:val="00732CFB"/>
    <w:rsid w:val="00741668"/>
    <w:rsid w:val="007559FC"/>
    <w:rsid w:val="007A1519"/>
    <w:rsid w:val="007C18D4"/>
    <w:rsid w:val="007D19AB"/>
    <w:rsid w:val="007D541F"/>
    <w:rsid w:val="007F0BAE"/>
    <w:rsid w:val="007F241D"/>
    <w:rsid w:val="008156F4"/>
    <w:rsid w:val="008360EC"/>
    <w:rsid w:val="0084338E"/>
    <w:rsid w:val="008543EB"/>
    <w:rsid w:val="00865134"/>
    <w:rsid w:val="00870216"/>
    <w:rsid w:val="008A3EAF"/>
    <w:rsid w:val="00900EF8"/>
    <w:rsid w:val="00924186"/>
    <w:rsid w:val="00950500"/>
    <w:rsid w:val="00976A07"/>
    <w:rsid w:val="00997C92"/>
    <w:rsid w:val="009B6527"/>
    <w:rsid w:val="009C5F45"/>
    <w:rsid w:val="009D42C5"/>
    <w:rsid w:val="009E31F1"/>
    <w:rsid w:val="009F6F0A"/>
    <w:rsid w:val="00A017C7"/>
    <w:rsid w:val="00A140CF"/>
    <w:rsid w:val="00A361FC"/>
    <w:rsid w:val="00A84140"/>
    <w:rsid w:val="00A971C8"/>
    <w:rsid w:val="00A97476"/>
    <w:rsid w:val="00AD7B32"/>
    <w:rsid w:val="00B02F71"/>
    <w:rsid w:val="00B2202F"/>
    <w:rsid w:val="00B31B41"/>
    <w:rsid w:val="00B47B22"/>
    <w:rsid w:val="00B65D5F"/>
    <w:rsid w:val="00B8482E"/>
    <w:rsid w:val="00BB40C3"/>
    <w:rsid w:val="00BF5D4C"/>
    <w:rsid w:val="00C10608"/>
    <w:rsid w:val="00C2249F"/>
    <w:rsid w:val="00C30525"/>
    <w:rsid w:val="00C46A92"/>
    <w:rsid w:val="00C516E5"/>
    <w:rsid w:val="00CA53DE"/>
    <w:rsid w:val="00CD194B"/>
    <w:rsid w:val="00CD2178"/>
    <w:rsid w:val="00CE39E1"/>
    <w:rsid w:val="00D1598A"/>
    <w:rsid w:val="00D7277A"/>
    <w:rsid w:val="00D72E58"/>
    <w:rsid w:val="00E0603E"/>
    <w:rsid w:val="00E56A20"/>
    <w:rsid w:val="00E812D5"/>
    <w:rsid w:val="00E83D42"/>
    <w:rsid w:val="00EA0824"/>
    <w:rsid w:val="00ED2AD1"/>
    <w:rsid w:val="00ED782B"/>
    <w:rsid w:val="00F17F62"/>
    <w:rsid w:val="00F24B87"/>
    <w:rsid w:val="00FC10B3"/>
    <w:rsid w:val="00FE66DF"/>
    <w:rsid w:val="00FF02C4"/>
    <w:rsid w:val="00FF2625"/>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20EC33"/>
  <w15:docId w15:val="{1829CF90-DFAA-4CF7-8316-517A274C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it-IT"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TestoLetter"/>
    <w:next w:val="TestoLettera"/>
    <w:qFormat/>
    <w:rsid w:val="0032554F"/>
    <w:pPr>
      <w:spacing w:line="300" w:lineRule="auto"/>
      <w:jc w:val="both"/>
    </w:pPr>
    <w:rPr>
      <w:rFonts w:ascii="Arial" w:hAnsi="Arial"/>
      <w:noProof/>
      <w:color w:val="595959"/>
      <w:sz w:val="22"/>
      <w:szCs w:val="24"/>
      <w:lang w:eastAsia="it-IT"/>
    </w:rPr>
  </w:style>
  <w:style w:type="paragraph" w:styleId="Titolo1">
    <w:name w:val="heading 1"/>
    <w:basedOn w:val="Normale"/>
    <w:next w:val="Normale"/>
    <w:link w:val="Titolo1Carattere"/>
    <w:uiPriority w:val="99"/>
    <w:qFormat/>
    <w:rsid w:val="00FC10B3"/>
    <w:pPr>
      <w:keepNext/>
      <w:keepLines/>
      <w:spacing w:before="480"/>
      <w:outlineLvl w:val="0"/>
    </w:pPr>
    <w:rPr>
      <w:rFonts w:ascii="Calibri" w:eastAsia="MS Gothic" w:hAnsi="Calibri"/>
      <w:b/>
      <w:bCs/>
      <w:color w:val="345A8A"/>
      <w:sz w:val="32"/>
      <w:szCs w:val="32"/>
    </w:rPr>
  </w:style>
  <w:style w:type="paragraph" w:styleId="Titolo2">
    <w:name w:val="heading 2"/>
    <w:basedOn w:val="Normale"/>
    <w:next w:val="Normale"/>
    <w:link w:val="Titolo2Carattere"/>
    <w:uiPriority w:val="99"/>
    <w:qFormat/>
    <w:rsid w:val="00FC10B3"/>
    <w:pPr>
      <w:keepNext/>
      <w:keepLines/>
      <w:spacing w:before="200"/>
      <w:outlineLvl w:val="1"/>
    </w:pPr>
    <w:rPr>
      <w:rFonts w:ascii="Calibri" w:eastAsia="MS Gothic" w:hAnsi="Calibri"/>
      <w:b/>
      <w:bCs/>
      <w:color w:val="4F81BD"/>
      <w:sz w:val="26"/>
      <w:szCs w:val="26"/>
    </w:rPr>
  </w:style>
  <w:style w:type="paragraph" w:styleId="Titolo3">
    <w:name w:val="heading 3"/>
    <w:basedOn w:val="Normale"/>
    <w:next w:val="Normale"/>
    <w:link w:val="Titolo3Carattere"/>
    <w:uiPriority w:val="99"/>
    <w:qFormat/>
    <w:rsid w:val="00FC10B3"/>
    <w:pPr>
      <w:keepNext/>
      <w:keepLines/>
      <w:spacing w:before="200"/>
      <w:outlineLvl w:val="2"/>
    </w:pPr>
    <w:rPr>
      <w:rFonts w:ascii="Calibri" w:eastAsia="MS Gothic" w:hAnsi="Calibri"/>
      <w:b/>
      <w:bCs/>
      <w:color w:val="4F81BD"/>
    </w:rPr>
  </w:style>
  <w:style w:type="paragraph" w:styleId="Titolo4">
    <w:name w:val="heading 4"/>
    <w:basedOn w:val="Normale"/>
    <w:next w:val="Normale"/>
    <w:link w:val="Titolo4Carattere"/>
    <w:uiPriority w:val="99"/>
    <w:qFormat/>
    <w:rsid w:val="00FC10B3"/>
    <w:pPr>
      <w:keepNext/>
      <w:keepLines/>
      <w:spacing w:before="200"/>
      <w:outlineLvl w:val="3"/>
    </w:pPr>
    <w:rPr>
      <w:rFonts w:ascii="Calibri" w:eastAsia="MS Gothic" w:hAnsi="Calibri"/>
      <w:b/>
      <w:bCs/>
      <w:i/>
      <w:iCs/>
      <w:color w:val="4F81BD"/>
    </w:rPr>
  </w:style>
  <w:style w:type="paragraph" w:styleId="Titolo5">
    <w:name w:val="heading 5"/>
    <w:basedOn w:val="Normale"/>
    <w:next w:val="Normale"/>
    <w:link w:val="Titolo5Carattere"/>
    <w:uiPriority w:val="99"/>
    <w:qFormat/>
    <w:rsid w:val="00FC10B3"/>
    <w:pPr>
      <w:keepNext/>
      <w:keepLines/>
      <w:spacing w:before="200"/>
      <w:outlineLvl w:val="4"/>
    </w:pPr>
    <w:rPr>
      <w:rFonts w:ascii="Calibri" w:eastAsia="MS Gothic" w:hAnsi="Calibri"/>
      <w:color w:val="243F60"/>
    </w:rPr>
  </w:style>
  <w:style w:type="paragraph" w:styleId="Titolo6">
    <w:name w:val="heading 6"/>
    <w:basedOn w:val="Normale"/>
    <w:next w:val="Normale"/>
    <w:link w:val="Titolo6Carattere"/>
    <w:uiPriority w:val="99"/>
    <w:qFormat/>
    <w:rsid w:val="00FC10B3"/>
    <w:pPr>
      <w:keepNext/>
      <w:keepLines/>
      <w:spacing w:before="200"/>
      <w:outlineLvl w:val="5"/>
    </w:pPr>
    <w:rPr>
      <w:rFonts w:ascii="Calibri" w:eastAsia="MS Gothic" w:hAnsi="Calibri"/>
      <w:i/>
      <w:iCs/>
      <w:color w:val="243F60"/>
    </w:rPr>
  </w:style>
  <w:style w:type="paragraph" w:styleId="Titolo7">
    <w:name w:val="heading 7"/>
    <w:basedOn w:val="Normale"/>
    <w:next w:val="Normale"/>
    <w:link w:val="Titolo7Carattere"/>
    <w:uiPriority w:val="99"/>
    <w:qFormat/>
    <w:rsid w:val="00FC10B3"/>
    <w:pPr>
      <w:keepNext/>
      <w:keepLines/>
      <w:spacing w:before="200"/>
      <w:outlineLvl w:val="6"/>
    </w:pPr>
    <w:rPr>
      <w:rFonts w:ascii="Calibri" w:eastAsia="MS Gothic" w:hAnsi="Calibri"/>
      <w:i/>
      <w:iCs/>
      <w:color w:val="404040"/>
    </w:rPr>
  </w:style>
  <w:style w:type="paragraph" w:styleId="Titolo8">
    <w:name w:val="heading 8"/>
    <w:basedOn w:val="Normale"/>
    <w:next w:val="Normale"/>
    <w:link w:val="Titolo8Carattere"/>
    <w:uiPriority w:val="99"/>
    <w:qFormat/>
    <w:rsid w:val="00FC10B3"/>
    <w:pPr>
      <w:keepNext/>
      <w:keepLines/>
      <w:spacing w:before="200"/>
      <w:outlineLvl w:val="7"/>
    </w:pPr>
    <w:rPr>
      <w:rFonts w:ascii="Calibri" w:eastAsia="MS Gothic" w:hAnsi="Calibri"/>
      <w:color w:val="404040"/>
      <w:szCs w:val="20"/>
    </w:rPr>
  </w:style>
  <w:style w:type="paragraph" w:styleId="Titolo9">
    <w:name w:val="heading 9"/>
    <w:basedOn w:val="Normale"/>
    <w:next w:val="Normale"/>
    <w:link w:val="Titolo9Carattere"/>
    <w:uiPriority w:val="99"/>
    <w:qFormat/>
    <w:rsid w:val="00FC10B3"/>
    <w:pPr>
      <w:keepNext/>
      <w:keepLines/>
      <w:spacing w:before="200"/>
      <w:outlineLvl w:val="8"/>
    </w:pPr>
    <w:rPr>
      <w:rFonts w:ascii="Calibri" w:eastAsia="MS Gothic" w:hAnsi="Calibri"/>
      <w:i/>
      <w:iCs/>
      <w:color w:val="40404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
    <w:link w:val="Titolo1"/>
    <w:uiPriority w:val="99"/>
    <w:rsid w:val="00FC10B3"/>
    <w:rPr>
      <w:rFonts w:ascii="Calibri" w:eastAsia="MS Gothic" w:hAnsi="Calibri" w:cs="Times New Roman"/>
      <w:b/>
      <w:bCs/>
      <w:color w:val="345A8A"/>
      <w:sz w:val="32"/>
    </w:rPr>
  </w:style>
  <w:style w:type="character" w:customStyle="1" w:styleId="Titolo2Carattere">
    <w:name w:val="Titolo 2 Carattere"/>
    <w:basedOn w:val="Caratterepredefinito"/>
    <w:link w:val="Titolo2"/>
    <w:uiPriority w:val="99"/>
    <w:rsid w:val="00FC10B3"/>
    <w:rPr>
      <w:rFonts w:ascii="Calibri" w:eastAsia="MS Gothic" w:hAnsi="Calibri" w:cs="Times New Roman"/>
      <w:b/>
      <w:bCs/>
      <w:color w:val="4F81BD"/>
      <w:sz w:val="26"/>
    </w:rPr>
  </w:style>
  <w:style w:type="character" w:customStyle="1" w:styleId="Titolo3Carattere">
    <w:name w:val="Titolo 3 Carattere"/>
    <w:basedOn w:val="Caratterepredefinito"/>
    <w:link w:val="Titolo3"/>
    <w:uiPriority w:val="99"/>
    <w:rsid w:val="00FC10B3"/>
    <w:rPr>
      <w:rFonts w:ascii="Calibri" w:eastAsia="MS Gothic" w:hAnsi="Calibri" w:cs="Times New Roman"/>
      <w:b/>
      <w:bCs/>
      <w:color w:val="4F81BD"/>
    </w:rPr>
  </w:style>
  <w:style w:type="character" w:customStyle="1" w:styleId="Titolo4Carattere">
    <w:name w:val="Titolo 4 Carattere"/>
    <w:basedOn w:val="Caratterepredefinito"/>
    <w:link w:val="Titolo4"/>
    <w:uiPriority w:val="99"/>
    <w:rsid w:val="00FC10B3"/>
    <w:rPr>
      <w:rFonts w:ascii="Calibri" w:eastAsia="MS Gothic" w:hAnsi="Calibri" w:cs="Times New Roman"/>
      <w:b/>
      <w:bCs/>
      <w:i/>
      <w:iCs/>
      <w:color w:val="4F81BD"/>
    </w:rPr>
  </w:style>
  <w:style w:type="character" w:customStyle="1" w:styleId="Titolo5Carattere">
    <w:name w:val="Titolo 5 Carattere"/>
    <w:basedOn w:val="Caratterepredefinito"/>
    <w:link w:val="Titolo5"/>
    <w:uiPriority w:val="99"/>
    <w:rsid w:val="00FC10B3"/>
    <w:rPr>
      <w:rFonts w:ascii="Calibri" w:eastAsia="MS Gothic" w:hAnsi="Calibri" w:cs="Times New Roman"/>
      <w:color w:val="243F60"/>
    </w:rPr>
  </w:style>
  <w:style w:type="character" w:customStyle="1" w:styleId="Titolo6Carattere">
    <w:name w:val="Titolo 6 Carattere"/>
    <w:basedOn w:val="Caratterepredefinito"/>
    <w:link w:val="Titolo6"/>
    <w:uiPriority w:val="99"/>
    <w:rsid w:val="00FC10B3"/>
    <w:rPr>
      <w:rFonts w:ascii="Calibri" w:eastAsia="MS Gothic" w:hAnsi="Calibri" w:cs="Times New Roman"/>
      <w:i/>
      <w:iCs/>
      <w:color w:val="243F60"/>
    </w:rPr>
  </w:style>
  <w:style w:type="character" w:customStyle="1" w:styleId="Titolo7Carattere">
    <w:name w:val="Titolo 7 Carattere"/>
    <w:basedOn w:val="Caratterepredefinito"/>
    <w:link w:val="Titolo7"/>
    <w:uiPriority w:val="99"/>
    <w:rsid w:val="00FC10B3"/>
    <w:rPr>
      <w:rFonts w:ascii="Calibri" w:eastAsia="MS Gothic" w:hAnsi="Calibri" w:cs="Times New Roman"/>
      <w:i/>
      <w:iCs/>
      <w:color w:val="404040"/>
    </w:rPr>
  </w:style>
  <w:style w:type="character" w:customStyle="1" w:styleId="Titolo8Carattere">
    <w:name w:val="Titolo 8 Carattere"/>
    <w:basedOn w:val="Caratterepredefinito"/>
    <w:link w:val="Titolo8"/>
    <w:uiPriority w:val="99"/>
    <w:rsid w:val="00FC10B3"/>
    <w:rPr>
      <w:rFonts w:ascii="Calibri" w:eastAsia="MS Gothic" w:hAnsi="Calibri" w:cs="Times New Roman"/>
      <w:color w:val="404040"/>
      <w:sz w:val="20"/>
    </w:rPr>
  </w:style>
  <w:style w:type="character" w:customStyle="1" w:styleId="Titolo9Carattere">
    <w:name w:val="Titolo 9 Carattere"/>
    <w:basedOn w:val="Caratterepredefinito"/>
    <w:link w:val="Titolo9"/>
    <w:uiPriority w:val="99"/>
    <w:rsid w:val="00FC10B3"/>
    <w:rPr>
      <w:rFonts w:ascii="Calibri" w:eastAsia="MS Gothic" w:hAnsi="Calibri" w:cs="Times New Roman"/>
      <w:i/>
      <w:iCs/>
      <w:color w:val="404040"/>
      <w:sz w:val="20"/>
    </w:rPr>
  </w:style>
  <w:style w:type="character" w:customStyle="1" w:styleId="Caratterepredefinito">
    <w:name w:val="Carattere predefinito"/>
    <w:uiPriority w:val="99"/>
    <w:semiHidden/>
  </w:style>
  <w:style w:type="table" w:customStyle="1" w:styleId="Tabellanorm">
    <w:name w:val="Tabella norm"/>
    <w:uiPriority w:val="99"/>
    <w:semiHidden/>
    <w:tblPr>
      <w:tblInd w:w="0" w:type="dxa"/>
      <w:tblCellMar>
        <w:top w:w="0" w:type="dxa"/>
        <w:left w:w="108" w:type="dxa"/>
        <w:bottom w:w="0" w:type="dxa"/>
        <w:right w:w="108" w:type="dxa"/>
      </w:tblCellMar>
    </w:tblPr>
  </w:style>
  <w:style w:type="paragraph" w:customStyle="1" w:styleId="FIRMAmittente">
    <w:name w:val="FIRMA mittente"/>
    <w:uiPriority w:val="99"/>
    <w:rsid w:val="00A361FC"/>
    <w:pPr>
      <w:tabs>
        <w:tab w:val="left" w:pos="2694"/>
      </w:tabs>
      <w:spacing w:line="300" w:lineRule="auto"/>
      <w:ind w:firstLine="5557"/>
    </w:pPr>
    <w:rPr>
      <w:rFonts w:ascii="Arial" w:hAnsi="Arial"/>
      <w:color w:val="595959"/>
      <w:sz w:val="22"/>
      <w:szCs w:val="24"/>
      <w:lang w:eastAsia="it-IT"/>
    </w:rPr>
  </w:style>
  <w:style w:type="paragraph" w:customStyle="1" w:styleId="Intest">
    <w:name w:val="Intest"/>
    <w:basedOn w:val="Normale"/>
    <w:uiPriority w:val="99"/>
    <w:rsid w:val="0051269C"/>
    <w:pPr>
      <w:tabs>
        <w:tab w:val="center" w:pos="4819"/>
        <w:tab w:val="right" w:pos="9638"/>
      </w:tabs>
    </w:pPr>
  </w:style>
  <w:style w:type="character" w:customStyle="1" w:styleId="HeaderChar">
    <w:name w:val="Header Char"/>
    <w:basedOn w:val="Caratterepredefinito"/>
    <w:uiPriority w:val="99"/>
    <w:rsid w:val="0051269C"/>
    <w:rPr>
      <w:rFonts w:cs="Times New Roman"/>
    </w:rPr>
  </w:style>
  <w:style w:type="paragraph" w:customStyle="1" w:styleId="Pidi">
    <w:name w:val="Piè di"/>
    <w:basedOn w:val="Normale"/>
    <w:uiPriority w:val="99"/>
    <w:rsid w:val="0051269C"/>
    <w:pPr>
      <w:tabs>
        <w:tab w:val="center" w:pos="4819"/>
        <w:tab w:val="right" w:pos="9638"/>
      </w:tabs>
    </w:pPr>
  </w:style>
  <w:style w:type="character" w:customStyle="1" w:styleId="FooterChar">
    <w:name w:val="Footer Char"/>
    <w:basedOn w:val="Caratterepredefinito"/>
    <w:uiPriority w:val="99"/>
    <w:rsid w:val="0051269C"/>
    <w:rPr>
      <w:rFonts w:cs="Times New Roman"/>
    </w:rPr>
  </w:style>
  <w:style w:type="paragraph" w:styleId="Nessunaspaziatura">
    <w:name w:val="No Spacing"/>
    <w:uiPriority w:val="99"/>
    <w:semiHidden/>
    <w:qFormat/>
    <w:rsid w:val="00FC10B3"/>
    <w:rPr>
      <w:sz w:val="24"/>
      <w:szCs w:val="24"/>
      <w:lang w:eastAsia="it-IT"/>
    </w:rPr>
  </w:style>
  <w:style w:type="paragraph" w:customStyle="1" w:styleId="Sottotit">
    <w:name w:val="Sottotit"/>
    <w:basedOn w:val="Normale"/>
    <w:next w:val="Normale"/>
    <w:uiPriority w:val="99"/>
    <w:rsid w:val="00FC10B3"/>
    <w:pPr>
      <w:numPr>
        <w:ilvl w:val="1"/>
      </w:numPr>
    </w:pPr>
    <w:rPr>
      <w:rFonts w:ascii="Calibri" w:eastAsia="MS Gothic" w:hAnsi="Calibri"/>
      <w:i/>
      <w:iCs/>
      <w:color w:val="4F81BD"/>
      <w:spacing w:val="15"/>
    </w:rPr>
  </w:style>
  <w:style w:type="character" w:customStyle="1" w:styleId="SubtitleChar">
    <w:name w:val="Subtitle Char"/>
    <w:basedOn w:val="Caratterepredefinito"/>
    <w:uiPriority w:val="99"/>
    <w:rsid w:val="00FC10B3"/>
    <w:rPr>
      <w:rFonts w:ascii="Calibri" w:eastAsia="MS Gothic" w:hAnsi="Calibri" w:cs="Times New Roman"/>
      <w:i/>
      <w:iCs/>
      <w:color w:val="4F81BD"/>
      <w:spacing w:val="15"/>
    </w:rPr>
  </w:style>
  <w:style w:type="paragraph" w:styleId="Paragrafoelenco">
    <w:name w:val="List Paragraph"/>
    <w:basedOn w:val="Normale"/>
    <w:uiPriority w:val="34"/>
    <w:qFormat/>
    <w:rsid w:val="00FC10B3"/>
    <w:pPr>
      <w:ind w:left="720"/>
      <w:contextualSpacing/>
    </w:pPr>
  </w:style>
  <w:style w:type="character" w:styleId="Riferimentointenso">
    <w:name w:val="Intense Reference"/>
    <w:basedOn w:val="Caratterepredefinito"/>
    <w:uiPriority w:val="99"/>
    <w:rsid w:val="00FC10B3"/>
    <w:rPr>
      <w:rFonts w:cs="Times New Roman"/>
      <w:b/>
      <w:bCs/>
      <w:smallCaps/>
      <w:color w:val="C0504D"/>
      <w:spacing w:val="5"/>
      <w:u w:val="single"/>
    </w:rPr>
  </w:style>
  <w:style w:type="character" w:styleId="Riferimentodelicato">
    <w:name w:val="Subtle Reference"/>
    <w:basedOn w:val="Caratterepredefinito"/>
    <w:uiPriority w:val="99"/>
    <w:rsid w:val="00FC10B3"/>
    <w:rPr>
      <w:rFonts w:cs="Times New Roman"/>
      <w:smallCaps/>
      <w:color w:val="C0504D"/>
      <w:u w:val="single"/>
    </w:rPr>
  </w:style>
  <w:style w:type="paragraph" w:customStyle="1" w:styleId="IntestazioneLettera">
    <w:name w:val="Intestazione Lettera"/>
    <w:uiPriority w:val="99"/>
    <w:rsid w:val="00924186"/>
    <w:rPr>
      <w:rFonts w:ascii="Palatino" w:hAnsi="Palatino"/>
      <w:noProof/>
      <w:color w:val="595959"/>
      <w:sz w:val="24"/>
      <w:szCs w:val="24"/>
      <w:lang w:eastAsia="it-IT"/>
    </w:rPr>
  </w:style>
  <w:style w:type="paragraph" w:customStyle="1" w:styleId="Oggettolettera">
    <w:name w:val="Oggetto lettera"/>
    <w:next w:val="TestoLettera"/>
    <w:uiPriority w:val="99"/>
    <w:rsid w:val="00F17F62"/>
    <w:pPr>
      <w:spacing w:line="300" w:lineRule="auto"/>
    </w:pPr>
    <w:rPr>
      <w:rFonts w:ascii="Arial" w:hAnsi="Arial"/>
      <w:b/>
      <w:noProof/>
      <w:color w:val="595959"/>
      <w:sz w:val="24"/>
      <w:szCs w:val="24"/>
      <w:lang w:eastAsia="it-IT"/>
    </w:rPr>
  </w:style>
  <w:style w:type="paragraph" w:customStyle="1" w:styleId="TestoLettera">
    <w:name w:val="Testo Lettera"/>
    <w:basedOn w:val="Normale"/>
    <w:uiPriority w:val="99"/>
    <w:rsid w:val="009F6F0A"/>
    <w:pPr>
      <w:jc w:val="left"/>
    </w:pPr>
  </w:style>
  <w:style w:type="character" w:customStyle="1" w:styleId="Enfasi">
    <w:name w:val="Enfasi"/>
    <w:basedOn w:val="Caratterepredefinito"/>
    <w:uiPriority w:val="99"/>
    <w:rsid w:val="000F66B6"/>
    <w:rPr>
      <w:rFonts w:cs="Times New Roman"/>
      <w:b/>
      <w:bCs/>
    </w:rPr>
  </w:style>
  <w:style w:type="paragraph" w:customStyle="1" w:styleId="IntestatarioLettera">
    <w:name w:val="Intestatario Lettera"/>
    <w:basedOn w:val="IntestazioneLettera"/>
    <w:next w:val="IndirizzoIntestatarioLettera"/>
    <w:uiPriority w:val="99"/>
    <w:rsid w:val="003A7420"/>
    <w:pPr>
      <w:tabs>
        <w:tab w:val="center" w:pos="4819"/>
        <w:tab w:val="right" w:pos="9638"/>
      </w:tabs>
    </w:pPr>
    <w:rPr>
      <w:rFonts w:ascii="Arial" w:hAnsi="Arial"/>
      <w:b/>
      <w:sz w:val="22"/>
    </w:rPr>
  </w:style>
  <w:style w:type="paragraph" w:customStyle="1" w:styleId="IndirizzoIntestatarioLettera">
    <w:name w:val="Indirizzo Intestatario Lettera"/>
    <w:next w:val="caLettra"/>
    <w:uiPriority w:val="99"/>
    <w:rsid w:val="003A7420"/>
    <w:pPr>
      <w:jc w:val="both"/>
    </w:pPr>
    <w:rPr>
      <w:rFonts w:ascii="Arial" w:hAnsi="Arial"/>
      <w:noProof/>
      <w:color w:val="595959"/>
      <w:sz w:val="22"/>
      <w:szCs w:val="24"/>
      <w:lang w:eastAsia="it-IT"/>
    </w:rPr>
  </w:style>
  <w:style w:type="paragraph" w:customStyle="1" w:styleId="caLettra">
    <w:name w:val="c.a. Lettra"/>
    <w:basedOn w:val="IntestazioneLettera"/>
    <w:uiPriority w:val="99"/>
    <w:rsid w:val="003A7420"/>
    <w:pPr>
      <w:tabs>
        <w:tab w:val="center" w:pos="4819"/>
        <w:tab w:val="right" w:pos="9638"/>
      </w:tabs>
      <w:spacing w:line="300" w:lineRule="auto"/>
    </w:pPr>
    <w:rPr>
      <w:rFonts w:ascii="Arial" w:hAnsi="Arial"/>
      <w:i/>
      <w:sz w:val="22"/>
    </w:rPr>
  </w:style>
  <w:style w:type="paragraph" w:customStyle="1" w:styleId="Nessunostileparagrafo">
    <w:name w:val="[Nessuno stile paragrafo]"/>
    <w:uiPriority w:val="99"/>
    <w:rsid w:val="004520BE"/>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it-IT"/>
    </w:rPr>
  </w:style>
  <w:style w:type="paragraph" w:customStyle="1" w:styleId="LuogoeData">
    <w:name w:val="Luogo e Data"/>
    <w:basedOn w:val="Normale"/>
    <w:next w:val="Oggettolettera"/>
    <w:uiPriority w:val="99"/>
    <w:rsid w:val="00F17F62"/>
  </w:style>
  <w:style w:type="paragraph" w:styleId="Intestazione">
    <w:name w:val="header"/>
    <w:basedOn w:val="Normale"/>
    <w:link w:val="IntestazioneCarattere"/>
    <w:uiPriority w:val="99"/>
    <w:rsid w:val="00635D02"/>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A481B"/>
    <w:rPr>
      <w:rFonts w:ascii="Arial" w:hAnsi="Arial"/>
      <w:noProof/>
      <w:color w:val="595959"/>
      <w:sz w:val="22"/>
      <w:szCs w:val="24"/>
      <w:lang w:eastAsia="it-IT"/>
    </w:rPr>
  </w:style>
  <w:style w:type="paragraph" w:styleId="Pidipagina">
    <w:name w:val="footer"/>
    <w:basedOn w:val="Normale"/>
    <w:link w:val="PidipaginaCarattere"/>
    <w:uiPriority w:val="99"/>
    <w:semiHidden/>
    <w:rsid w:val="00635D02"/>
    <w:pPr>
      <w:tabs>
        <w:tab w:val="center" w:pos="4819"/>
        <w:tab w:val="right" w:pos="9638"/>
      </w:tabs>
    </w:pPr>
  </w:style>
  <w:style w:type="character" w:customStyle="1" w:styleId="PidipaginaCarattere">
    <w:name w:val="Piè di pagina Carattere"/>
    <w:basedOn w:val="Carpredefinitoparagrafo"/>
    <w:link w:val="Pidipagina"/>
    <w:uiPriority w:val="99"/>
    <w:semiHidden/>
    <w:rsid w:val="00FA481B"/>
    <w:rPr>
      <w:rFonts w:ascii="Arial" w:hAnsi="Arial"/>
      <w:noProof/>
      <w:color w:val="595959"/>
      <w:sz w:val="22"/>
      <w:szCs w:val="24"/>
      <w:lang w:eastAsia="it-IT"/>
    </w:rPr>
  </w:style>
  <w:style w:type="paragraph" w:styleId="Testofumetto">
    <w:name w:val="Balloon Text"/>
    <w:basedOn w:val="Normale"/>
    <w:link w:val="TestofumettoCarattere"/>
    <w:uiPriority w:val="99"/>
    <w:semiHidden/>
    <w:unhideWhenUsed/>
    <w:rsid w:val="003006AC"/>
    <w:pPr>
      <w:spacing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006AC"/>
    <w:rPr>
      <w:rFonts w:ascii="Lucida Grande" w:hAnsi="Lucida Grande" w:cs="Lucida Grande"/>
      <w:noProof/>
      <w:color w:val="595959"/>
      <w:sz w:val="18"/>
      <w:szCs w:val="18"/>
      <w:lang w:eastAsia="it-IT"/>
    </w:rPr>
  </w:style>
  <w:style w:type="paragraph" w:customStyle="1" w:styleId="Paragrafobase">
    <w:name w:val="[Paragrafo base]"/>
    <w:basedOn w:val="Nessunostileparagrafo"/>
    <w:uiPriority w:val="99"/>
    <w:rsid w:val="00741668"/>
    <w:pPr>
      <w:widowControl/>
    </w:pPr>
    <w:rPr>
      <w:lang w:eastAsia="en-US"/>
    </w:rPr>
  </w:style>
  <w:style w:type="paragraph" w:styleId="Testonotaapidipagina">
    <w:name w:val="footnote text"/>
    <w:basedOn w:val="Normale"/>
    <w:link w:val="TestonotaapidipaginaCarattere"/>
    <w:uiPriority w:val="99"/>
    <w:semiHidden/>
    <w:unhideWhenUsed/>
    <w:rsid w:val="00741668"/>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41668"/>
    <w:rPr>
      <w:rFonts w:ascii="Arial" w:hAnsi="Arial"/>
      <w:noProof/>
      <w:color w:val="595959"/>
      <w:lang w:eastAsia="it-IT"/>
    </w:rPr>
  </w:style>
  <w:style w:type="character" w:styleId="Rimandonotaapidipagina">
    <w:name w:val="footnote reference"/>
    <w:basedOn w:val="Carpredefinitoparagrafo"/>
    <w:uiPriority w:val="99"/>
    <w:semiHidden/>
    <w:unhideWhenUsed/>
    <w:rsid w:val="00741668"/>
    <w:rPr>
      <w:vertAlign w:val="superscript"/>
    </w:rPr>
  </w:style>
  <w:style w:type="character" w:styleId="Collegamentoipertestuale">
    <w:name w:val="Hyperlink"/>
    <w:basedOn w:val="Carpredefinitoparagrafo"/>
    <w:uiPriority w:val="99"/>
    <w:unhideWhenUsed/>
    <w:rsid w:val="00741668"/>
    <w:rPr>
      <w:color w:val="0000FF"/>
      <w:u w:val="single"/>
    </w:rPr>
  </w:style>
  <w:style w:type="character" w:styleId="Menzionenonrisolta">
    <w:name w:val="Unresolved Mention"/>
    <w:basedOn w:val="Carpredefinitoparagrafo"/>
    <w:uiPriority w:val="99"/>
    <w:semiHidden/>
    <w:unhideWhenUsed/>
    <w:rsid w:val="00741668"/>
    <w:rPr>
      <w:color w:val="605E5C"/>
      <w:shd w:val="clear" w:color="auto" w:fill="E1DFDD"/>
    </w:rPr>
  </w:style>
  <w:style w:type="character" w:styleId="Collegamentovisitato">
    <w:name w:val="FollowedHyperlink"/>
    <w:basedOn w:val="Carpredefinitoparagrafo"/>
    <w:uiPriority w:val="99"/>
    <w:semiHidden/>
    <w:unhideWhenUsed/>
    <w:rsid w:val="00741668"/>
    <w:rPr>
      <w:color w:val="800080" w:themeColor="followedHyperlink"/>
      <w:u w:val="single"/>
    </w:rPr>
  </w:style>
  <w:style w:type="paragraph" w:styleId="NormaleWeb">
    <w:name w:val="Normal (Web)"/>
    <w:basedOn w:val="Normale"/>
    <w:uiPriority w:val="99"/>
    <w:unhideWhenUsed/>
    <w:rsid w:val="0003219E"/>
    <w:pPr>
      <w:spacing w:before="100" w:beforeAutospacing="1" w:after="100" w:afterAutospacing="1" w:line="240" w:lineRule="auto"/>
      <w:jc w:val="left"/>
    </w:pPr>
    <w:rPr>
      <w:rFonts w:ascii="Times New Roman" w:eastAsia="Times New Roman" w:hAnsi="Times New Roman"/>
      <w:noProof w:val="0"/>
      <w:color w:val="auto"/>
      <w:sz w:val="24"/>
    </w:rPr>
  </w:style>
  <w:style w:type="table" w:styleId="Tabellasemplice-1">
    <w:name w:val="Plain Table 1"/>
    <w:basedOn w:val="Tabellanormale"/>
    <w:uiPriority w:val="41"/>
    <w:rsid w:val="005F18AC"/>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802433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s://medov.whistleblowing.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vacy@ilinvestimenti.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nticorruzione.it/-/whistleblowing" TargetMode="External"/><Relationship Id="rId4" Type="http://schemas.openxmlformats.org/officeDocument/2006/relationships/settings" Target="settings.xml"/><Relationship Id="rId9" Type="http://schemas.openxmlformats.org/officeDocument/2006/relationships/hyperlink" Target="https://medov.whistleblowing.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medov@pec.it" TargetMode="External"/><Relationship Id="rId2" Type="http://schemas.openxmlformats.org/officeDocument/2006/relationships/hyperlink" Target="http://www.medov.it/" TargetMode="External"/><Relationship Id="rId1" Type="http://schemas.openxmlformats.org/officeDocument/2006/relationships/hyperlink" Target="mailto:operations@medov.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2F685-363D-2D40-A8F1-7AC78633F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3294</Words>
  <Characters>18776</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Luogo, giorno 12/34/5678</vt:lpstr>
    </vt:vector>
  </TitlesOfParts>
  <Company/>
  <LinksUpToDate>false</LinksUpToDate>
  <CharactersWithSpaces>22026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Luogo, giorno 12/34/5678</dc:title>
  <dc:subject/>
  <dc:creator>Valentina Giubergia</dc:creator>
  <cp:keywords/>
  <cp:lastModifiedBy>Valentina Giubergia</cp:lastModifiedBy>
  <cp:revision>10</cp:revision>
  <cp:lastPrinted>2025-10-24T10:39:00Z</cp:lastPrinted>
  <dcterms:created xsi:type="dcterms:W3CDTF">2026-01-05T14:00:00Z</dcterms:created>
  <dcterms:modified xsi:type="dcterms:W3CDTF">2026-01-05T14:23:00Z</dcterms:modified>
</cp:coreProperties>
</file>